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b/>
          <w:color w:val="auto"/>
          <w:sz w:val="24"/>
          <w:szCs w:val="24"/>
        </w:rPr>
        <w:t>1.</w:t>
      </w:r>
      <w:r>
        <w:rPr>
          <w:rFonts w:ascii="Times New Roman" w:hAnsi="Times New Roman" w:eastAsia="宋体"/>
          <w:b/>
          <w:color w:val="auto"/>
          <w:sz w:val="24"/>
          <w:szCs w:val="24"/>
        </w:rPr>
        <w:t>项目名称</w:t>
      </w:r>
      <w:r>
        <w:rPr>
          <w:rFonts w:hint="eastAsia" w:ascii="Times New Roman" w:hAnsi="Times New Roman" w:eastAsia="宋体"/>
          <w:color w:val="auto"/>
          <w:sz w:val="24"/>
          <w:szCs w:val="24"/>
        </w:rPr>
        <w:t>：制浆分厂1#木片仓2316喂料螺旋修理</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
          <w:color w:val="auto"/>
          <w:sz w:val="24"/>
          <w:szCs w:val="24"/>
          <w:lang w:eastAsia="zh-CN"/>
        </w:rPr>
      </w:pPr>
      <w:r>
        <w:rPr>
          <w:rFonts w:hint="eastAsia" w:ascii="Times New Roman" w:hAnsi="Times New Roman" w:eastAsia="宋体"/>
          <w:b/>
          <w:color w:val="auto"/>
          <w:sz w:val="24"/>
          <w:szCs w:val="24"/>
        </w:rPr>
        <w:t>2.</w:t>
      </w:r>
      <w:r>
        <w:rPr>
          <w:rFonts w:hint="eastAsia" w:ascii="Times New Roman" w:hAnsi="Times New Roman" w:eastAsia="宋体"/>
          <w:b/>
          <w:color w:val="auto"/>
          <w:sz w:val="24"/>
          <w:szCs w:val="24"/>
          <w:lang w:eastAsia="zh-CN"/>
        </w:rPr>
        <w:t>项目内容及要求</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eastAsia="zh-CN"/>
        </w:rPr>
        <w:t>2.1螺旋的基本尺寸参数如下：</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eastAsia="zh-CN"/>
        </w:rPr>
        <w:t>螺旋尺寸见附图，图中尺寸仅供参考，具体以实际测量为准。</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eastAsia="zh-CN"/>
        </w:rPr>
        <w:t xml:space="preserve">螺旋钢管轴直径Φ=250mm~508mm； </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eastAsia="zh-CN"/>
        </w:rPr>
        <w:t>螺旋长度约L= 8000mm；</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eastAsia="zh-CN"/>
        </w:rPr>
        <w:t>叶片高度H=110mm～200mm；</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eastAsia="zh-CN"/>
        </w:rPr>
        <w:t>螺距P=360mm～780mm；</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eastAsia="zh-CN"/>
        </w:rPr>
        <w:t>叶片总圈数约12圈。</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eastAsia="zh-CN"/>
        </w:rPr>
        <w:t>2.2项目要求：</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eastAsia="zh-CN"/>
        </w:rPr>
        <w:t>2.2.1螺旋距离轴头约1.5米处裂断（见图片），用焊接法重新连接，断口处壁厚约35~40mm。</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eastAsia="zh-CN"/>
        </w:rPr>
        <w:t>2.2.2螺旋轴管内外需要加固，螺旋轴材质为Q345R。</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eastAsia="zh-CN"/>
        </w:rPr>
        <w:t>2.2.3修理部分的叶片修复，叶片材质为Q345，叶片厚度为16mm。叶片与管轴采用双面连续焊缝，叶片突出耙齿镶嵌焊接，嵌入叶片深度约为20mm，耙齿甲供。</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eastAsia="zh-CN"/>
        </w:rPr>
        <w:t>修理部位的包覆3Cr13钢板修复，钢板厚度δ=3mm， 钢板表面淬火，提高耐磨性和强度，所有连接处焊缝须用耐磨焊条堆焊，焊缝高度为6mm，焊缝宽度为10mm，螺旋轴表面的氧化层及部分耐磨层须处理干净，要保证修理后的螺旋不能有变形和影响正常使用。</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eastAsia="zh-CN"/>
        </w:rPr>
        <w:t>2.2.4投标方到现场作技术交流，明确具体的工作任务。</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eastAsia="zh-CN"/>
        </w:rPr>
        <w:t>2.3项目采用乙方包工包料模式承接。</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eastAsia="zh-CN"/>
        </w:rPr>
        <w:t>2.4投标人投标时应提供项目修理方案，项目修理方案应详细说明焊接工艺和焊后热处理工艺，方案中还应有安全措施及专项防火方案，螺旋的找正方案和找正精度必须在修理方案中说明。同时应有修理进度计划表。</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eastAsia="zh-CN"/>
        </w:rPr>
        <w:t>2.5安全技术要求：</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eastAsia="zh-CN"/>
        </w:rPr>
        <w:t>螺旋大修施工现场（木片堆场）属于一级防火区，为杜绝施工造成周边堆场易燃生产物料及飞扬的木屑引起火灾隐患。为了保证施工现场的安全，投标单位必须提前制定详细可行的安全技术措施，落实项目责任人和现场专职安全管理员，建立健全工程项目安全规章制度和安全操作规程。</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w:t>
      </w:r>
      <w:r>
        <w:rPr>
          <w:rFonts w:hint="eastAsia" w:ascii="Times New Roman" w:hAnsi="Times New Roman" w:eastAsia="宋体"/>
          <w:b/>
          <w:color w:val="auto"/>
          <w:sz w:val="24"/>
          <w:szCs w:val="24"/>
          <w:lang w:eastAsia="zh-CN"/>
        </w:rPr>
        <w:t>工期及地点</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3.1工期：投标人承诺最短施工工期及备料工期。</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color w:val="auto"/>
          <w:sz w:val="24"/>
          <w:szCs w:val="24"/>
          <w:lang w:val="en-US" w:eastAsia="zh-CN"/>
        </w:rPr>
      </w:pPr>
      <w:r>
        <w:rPr>
          <w:rFonts w:hint="eastAsia" w:ascii="Times New Roman" w:hAnsi="Times New Roman" w:eastAsia="宋体"/>
          <w:b w:val="0"/>
          <w:bCs/>
          <w:color w:val="auto"/>
          <w:sz w:val="24"/>
          <w:szCs w:val="24"/>
          <w:lang w:val="en-US" w:eastAsia="zh-CN"/>
        </w:rPr>
        <w:t>3.2地点：福建省三明市沙县区青州镇福建省青山纸业股份有限公司指定区域内。</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.对投标人资格要求</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rPr>
      </w:pPr>
      <w:r>
        <w:rPr>
          <w:rFonts w:hint="eastAsia" w:ascii="Times New Roman" w:hAnsi="Times New Roman" w:eastAsia="宋体"/>
          <w:b w:val="0"/>
          <w:bCs/>
          <w:color w:val="auto"/>
          <w:sz w:val="24"/>
          <w:szCs w:val="24"/>
          <w:lang w:val="en-US" w:eastAsia="zh-CN"/>
        </w:rPr>
        <w:t>4.1</w:t>
      </w:r>
      <w:r>
        <w:rPr>
          <w:rFonts w:hint="eastAsia" w:ascii="Times New Roman" w:hAnsi="Times New Roman" w:eastAsia="宋体"/>
          <w:b w:val="0"/>
          <w:bCs/>
          <w:color w:val="auto"/>
          <w:sz w:val="24"/>
          <w:szCs w:val="24"/>
        </w:rPr>
        <w:t>投标人应是具备独立法人资格，有资质和有能力提供服务、信用良好的国内企业。</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rPr>
      </w:pPr>
      <w:r>
        <w:rPr>
          <w:rFonts w:hint="eastAsia" w:ascii="Times New Roman" w:hAnsi="Times New Roman" w:eastAsia="宋体"/>
          <w:b w:val="0"/>
          <w:bCs/>
          <w:color w:val="auto"/>
          <w:sz w:val="24"/>
          <w:szCs w:val="24"/>
          <w:lang w:val="en-US" w:eastAsia="zh-CN"/>
        </w:rPr>
        <w:t>4</w:t>
      </w:r>
      <w:r>
        <w:rPr>
          <w:rFonts w:hint="eastAsia" w:ascii="Times New Roman" w:hAnsi="Times New Roman" w:eastAsia="宋体"/>
          <w:b w:val="0"/>
          <w:bCs/>
          <w:color w:val="auto"/>
          <w:sz w:val="24"/>
          <w:szCs w:val="24"/>
        </w:rPr>
        <w:t>.2投标人近三年具有螺旋修理的业绩一次以上，提供业绩合同复印件。</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bCs/>
          <w:color w:val="auto"/>
          <w:sz w:val="24"/>
          <w:szCs w:val="24"/>
          <w:lang w:val="en-US" w:eastAsia="zh-CN"/>
        </w:rPr>
        <w:t>5.双方职责</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w:t>
      </w:r>
      <w:r>
        <w:rPr>
          <w:rFonts w:hint="default" w:ascii="Times New Roman" w:hAnsi="Times New Roman" w:eastAsia="宋体"/>
          <w:b w:val="0"/>
          <w:bCs w:val="0"/>
          <w:color w:val="auto"/>
          <w:sz w:val="24"/>
          <w:szCs w:val="24"/>
          <w:lang w:val="en-US" w:eastAsia="zh-CN"/>
        </w:rPr>
        <w:t>.1招标方负责提供现场照明、水源、施工电源（含费用），招标方负责现场清理至施工合理要求。</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w:t>
      </w:r>
      <w:r>
        <w:rPr>
          <w:rFonts w:hint="default" w:ascii="Times New Roman" w:hAnsi="Times New Roman" w:eastAsia="宋体"/>
          <w:b w:val="0"/>
          <w:bCs w:val="0"/>
          <w:color w:val="auto"/>
          <w:sz w:val="24"/>
          <w:szCs w:val="24"/>
          <w:lang w:val="en-US" w:eastAsia="zh-CN"/>
        </w:rPr>
        <w:t>.2投标方应提供施工方案（包括安全措施），施工现场周边为一级防火区，中标方应提供专项防火施工方案。投标方需提供详细技术施工方案、施工工期，并按双方最终确定改造方案实施。投标方对改造方案的合理性、可行性负责，并应在投标时做出质量和技术指标的承诺。中标方制作完成应提供相关检验材料及证明。施工前须办理开工报告，并交纳安全保证金5000元。</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w:t>
      </w:r>
      <w:r>
        <w:rPr>
          <w:rFonts w:hint="default" w:ascii="Times New Roman" w:hAnsi="Times New Roman" w:eastAsia="宋体"/>
          <w:b w:val="0"/>
          <w:bCs w:val="0"/>
          <w:color w:val="auto"/>
          <w:sz w:val="24"/>
          <w:szCs w:val="24"/>
          <w:lang w:val="en-US" w:eastAsia="zh-CN"/>
        </w:rPr>
        <w:t>.3中标方包工包料进行施工。项目所需的主材、辅材及焊接、打磨、修补的材料及施工均由中标方负责。</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w:t>
      </w:r>
      <w:r>
        <w:rPr>
          <w:rFonts w:hint="default" w:ascii="Times New Roman" w:hAnsi="Times New Roman" w:eastAsia="宋体"/>
          <w:b w:val="0"/>
          <w:bCs w:val="0"/>
          <w:color w:val="auto"/>
          <w:sz w:val="24"/>
          <w:szCs w:val="24"/>
          <w:lang w:val="en-US" w:eastAsia="zh-CN"/>
        </w:rPr>
        <w:t>.4施工方自备所有施工工具。</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w:t>
      </w:r>
      <w:r>
        <w:rPr>
          <w:rFonts w:hint="default" w:ascii="Times New Roman" w:hAnsi="Times New Roman" w:eastAsia="宋体"/>
          <w:b w:val="0"/>
          <w:bCs w:val="0"/>
          <w:color w:val="auto"/>
          <w:sz w:val="24"/>
          <w:szCs w:val="24"/>
          <w:lang w:val="en-US" w:eastAsia="zh-CN"/>
        </w:rPr>
        <w:t>.5运输费用、起重作业、脚手架、食宿由施工方负责。</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w:t>
      </w:r>
      <w:r>
        <w:rPr>
          <w:rFonts w:hint="default" w:ascii="Times New Roman" w:hAnsi="Times New Roman" w:eastAsia="宋体"/>
          <w:b w:val="0"/>
          <w:bCs w:val="0"/>
          <w:color w:val="auto"/>
          <w:sz w:val="24"/>
          <w:szCs w:val="24"/>
          <w:lang w:val="en-US" w:eastAsia="zh-CN"/>
        </w:rPr>
        <w:t>.6每道工序施工前必须由招标方指定人员确认前道工序合格后方可施工。</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w:t>
      </w:r>
      <w:r>
        <w:rPr>
          <w:rFonts w:hint="default" w:ascii="Times New Roman" w:hAnsi="Times New Roman" w:eastAsia="宋体"/>
          <w:b w:val="0"/>
          <w:bCs w:val="0"/>
          <w:color w:val="auto"/>
          <w:sz w:val="24"/>
          <w:szCs w:val="24"/>
          <w:lang w:val="en-US" w:eastAsia="zh-CN"/>
        </w:rPr>
        <w:t>.7施工方在施工过程中应采取必要的安全防范措施，施工期确保招标方设备的安全，若施工方原因造成设备的损坏，施工方应负责赔偿损失。施工现场周边为一级防火区，为保证项目的安全管理工作，专职安全员均应到场，并尽职履行现场安全管理责任。</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w:t>
      </w:r>
      <w:r>
        <w:rPr>
          <w:rFonts w:hint="default" w:ascii="Times New Roman" w:hAnsi="Times New Roman" w:eastAsia="宋体"/>
          <w:b w:val="0"/>
          <w:bCs w:val="0"/>
          <w:color w:val="auto"/>
          <w:sz w:val="24"/>
          <w:szCs w:val="24"/>
          <w:lang w:val="en-US" w:eastAsia="zh-CN"/>
        </w:rPr>
        <w:t>.8施工方在施工过程中废弃的物品应堆放在招标方指定的地点。</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w:t>
      </w:r>
      <w:r>
        <w:rPr>
          <w:rFonts w:hint="default" w:ascii="Times New Roman" w:hAnsi="Times New Roman" w:eastAsia="宋体"/>
          <w:b w:val="0"/>
          <w:bCs w:val="0"/>
          <w:color w:val="auto"/>
          <w:sz w:val="24"/>
          <w:szCs w:val="24"/>
          <w:lang w:val="en-US" w:eastAsia="zh-CN"/>
        </w:rPr>
        <w:t>.9施工方施工垃圾应及时清理干净，保持现场整洁。</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
          <w:bCs/>
          <w:color w:val="auto"/>
          <w:sz w:val="24"/>
          <w:szCs w:val="24"/>
          <w:lang w:val="en-US" w:eastAsia="zh-CN"/>
        </w:rPr>
      </w:pPr>
      <w:r>
        <w:rPr>
          <w:rFonts w:hint="eastAsia" w:ascii="Times New Roman" w:hAnsi="Times New Roman" w:eastAsia="宋体"/>
          <w:b/>
          <w:bCs/>
          <w:color w:val="auto"/>
          <w:sz w:val="24"/>
          <w:szCs w:val="24"/>
          <w:lang w:val="en-US" w:eastAsia="zh-CN"/>
        </w:rPr>
        <w:t>6.安全责任</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w:t>
      </w:r>
      <w:r>
        <w:rPr>
          <w:rFonts w:hint="default" w:ascii="Times New Roman" w:hAnsi="Times New Roman" w:eastAsia="宋体"/>
          <w:b w:val="0"/>
          <w:bCs w:val="0"/>
          <w:color w:val="auto"/>
          <w:sz w:val="24"/>
          <w:szCs w:val="24"/>
          <w:lang w:val="en-US" w:eastAsia="zh-CN"/>
        </w:rPr>
        <w:t>.1</w:t>
      </w:r>
      <w:r>
        <w:rPr>
          <w:rFonts w:hint="eastAsia" w:ascii="Times New Roman" w:hAnsi="Times New Roman" w:eastAsia="宋体"/>
          <w:b w:val="0"/>
          <w:bCs w:val="0"/>
          <w:color w:val="auto"/>
          <w:sz w:val="24"/>
          <w:szCs w:val="24"/>
          <w:lang w:val="en-US" w:eastAsia="zh-CN"/>
        </w:rPr>
        <w:t>中标</w:t>
      </w:r>
      <w:r>
        <w:rPr>
          <w:rFonts w:hint="default" w:ascii="Times New Roman" w:hAnsi="Times New Roman" w:eastAsia="宋体"/>
          <w:b w:val="0"/>
          <w:bCs w:val="0"/>
          <w:color w:val="auto"/>
          <w:sz w:val="24"/>
          <w:szCs w:val="24"/>
          <w:lang w:val="en-US" w:eastAsia="zh-CN"/>
        </w:rPr>
        <w:t>方在施工工程中必须严格遵守国家、建设部、福建省等有关安全技术规范及中华人民共和国现行的法律、法规、政策、规定和规章中关于安全、劳保、防疫、卫生的条例。</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w:t>
      </w:r>
      <w:r>
        <w:rPr>
          <w:rFonts w:hint="default" w:ascii="Times New Roman" w:hAnsi="Times New Roman" w:eastAsia="宋体"/>
          <w:b w:val="0"/>
          <w:bCs w:val="0"/>
          <w:color w:val="auto"/>
          <w:sz w:val="24"/>
          <w:szCs w:val="24"/>
          <w:lang w:val="en-US" w:eastAsia="zh-CN"/>
        </w:rPr>
        <w:t>.2</w:t>
      </w:r>
      <w:r>
        <w:rPr>
          <w:rFonts w:hint="eastAsia" w:ascii="Times New Roman" w:hAnsi="Times New Roman" w:eastAsia="宋体"/>
          <w:b w:val="0"/>
          <w:bCs w:val="0"/>
          <w:color w:val="auto"/>
          <w:sz w:val="24"/>
          <w:szCs w:val="24"/>
          <w:lang w:val="en-US" w:eastAsia="zh-CN"/>
        </w:rPr>
        <w:t>中标</w:t>
      </w:r>
      <w:r>
        <w:rPr>
          <w:rFonts w:hint="default" w:ascii="Times New Roman" w:hAnsi="Times New Roman" w:eastAsia="宋体"/>
          <w:b w:val="0"/>
          <w:bCs w:val="0"/>
          <w:color w:val="auto"/>
          <w:sz w:val="24"/>
          <w:szCs w:val="24"/>
          <w:lang w:val="en-US" w:eastAsia="zh-CN"/>
        </w:rPr>
        <w:t>方必须对工作过程中的安全和损失预防的程序负责。</w:t>
      </w:r>
      <w:r>
        <w:rPr>
          <w:rFonts w:hint="eastAsia" w:ascii="Times New Roman" w:hAnsi="Times New Roman" w:eastAsia="宋体"/>
          <w:b w:val="0"/>
          <w:bCs w:val="0"/>
          <w:color w:val="auto"/>
          <w:sz w:val="24"/>
          <w:szCs w:val="24"/>
          <w:lang w:val="en-US" w:eastAsia="zh-CN"/>
        </w:rPr>
        <w:t>中标</w:t>
      </w:r>
      <w:r>
        <w:rPr>
          <w:rFonts w:hint="default" w:ascii="Times New Roman" w:hAnsi="Times New Roman" w:eastAsia="宋体"/>
          <w:b w:val="0"/>
          <w:bCs w:val="0"/>
          <w:color w:val="auto"/>
          <w:sz w:val="24"/>
          <w:szCs w:val="24"/>
          <w:lang w:val="en-US" w:eastAsia="zh-CN"/>
        </w:rPr>
        <w:t>方施工前须按规定办理开工报告并交纳安全保证金5000元。</w:t>
      </w:r>
      <w:r>
        <w:rPr>
          <w:rFonts w:hint="eastAsia" w:ascii="Times New Roman" w:hAnsi="Times New Roman" w:eastAsia="宋体"/>
          <w:b w:val="0"/>
          <w:bCs w:val="0"/>
          <w:color w:val="auto"/>
          <w:sz w:val="24"/>
          <w:szCs w:val="24"/>
          <w:lang w:val="en-US" w:eastAsia="zh-CN"/>
        </w:rPr>
        <w:t>中标</w:t>
      </w:r>
      <w:r>
        <w:rPr>
          <w:rFonts w:hint="default" w:ascii="Times New Roman" w:hAnsi="Times New Roman" w:eastAsia="宋体"/>
          <w:b w:val="0"/>
          <w:bCs w:val="0"/>
          <w:color w:val="auto"/>
          <w:sz w:val="24"/>
          <w:szCs w:val="24"/>
          <w:lang w:val="en-US" w:eastAsia="zh-CN"/>
        </w:rPr>
        <w:t>方施工前必须签署安全协议书</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w:t>
      </w:r>
      <w:r>
        <w:rPr>
          <w:rFonts w:hint="default" w:ascii="Times New Roman" w:hAnsi="Times New Roman" w:eastAsia="宋体"/>
          <w:b w:val="0"/>
          <w:bCs w:val="0"/>
          <w:color w:val="auto"/>
          <w:sz w:val="24"/>
          <w:szCs w:val="24"/>
          <w:lang w:val="en-US" w:eastAsia="zh-CN"/>
        </w:rPr>
        <w:t>.3</w:t>
      </w:r>
      <w:r>
        <w:rPr>
          <w:rFonts w:hint="eastAsia" w:ascii="Times New Roman" w:hAnsi="Times New Roman" w:eastAsia="宋体"/>
          <w:b w:val="0"/>
          <w:bCs w:val="0"/>
          <w:color w:val="auto"/>
          <w:sz w:val="24"/>
          <w:szCs w:val="24"/>
          <w:lang w:val="en-US" w:eastAsia="zh-CN"/>
        </w:rPr>
        <w:t>招标</w:t>
      </w:r>
      <w:r>
        <w:rPr>
          <w:rFonts w:hint="default" w:ascii="Times New Roman" w:hAnsi="Times New Roman" w:eastAsia="宋体"/>
          <w:b w:val="0"/>
          <w:bCs w:val="0"/>
          <w:color w:val="auto"/>
          <w:sz w:val="24"/>
          <w:szCs w:val="24"/>
          <w:lang w:val="en-US" w:eastAsia="zh-CN"/>
        </w:rPr>
        <w:t>方所支付管理费中已包含安全管理费用，</w:t>
      </w:r>
      <w:r>
        <w:rPr>
          <w:rFonts w:hint="eastAsia" w:ascii="Times New Roman" w:hAnsi="Times New Roman" w:eastAsia="宋体"/>
          <w:b w:val="0"/>
          <w:bCs w:val="0"/>
          <w:color w:val="auto"/>
          <w:sz w:val="24"/>
          <w:szCs w:val="24"/>
          <w:lang w:val="en-US" w:eastAsia="zh-CN"/>
        </w:rPr>
        <w:t>中标</w:t>
      </w:r>
      <w:r>
        <w:rPr>
          <w:rFonts w:hint="default" w:ascii="Times New Roman" w:hAnsi="Times New Roman" w:eastAsia="宋体"/>
          <w:b w:val="0"/>
          <w:bCs w:val="0"/>
          <w:color w:val="auto"/>
          <w:sz w:val="24"/>
          <w:szCs w:val="24"/>
          <w:lang w:val="en-US" w:eastAsia="zh-CN"/>
        </w:rPr>
        <w:t>方应根据有关劳保规定发给其所属人员必要的个人防护用品，以保障安全。</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w:t>
      </w:r>
      <w:r>
        <w:rPr>
          <w:rFonts w:hint="default" w:ascii="Times New Roman" w:hAnsi="Times New Roman" w:eastAsia="宋体"/>
          <w:b w:val="0"/>
          <w:bCs w:val="0"/>
          <w:color w:val="auto"/>
          <w:sz w:val="24"/>
          <w:szCs w:val="24"/>
          <w:lang w:val="en-US" w:eastAsia="zh-CN"/>
        </w:rPr>
        <w:t>.4</w:t>
      </w:r>
      <w:r>
        <w:rPr>
          <w:rFonts w:hint="eastAsia" w:ascii="Times New Roman" w:hAnsi="Times New Roman" w:eastAsia="宋体"/>
          <w:b w:val="0"/>
          <w:bCs w:val="0"/>
          <w:color w:val="auto"/>
          <w:sz w:val="24"/>
          <w:szCs w:val="24"/>
          <w:lang w:val="en-US" w:eastAsia="zh-CN"/>
        </w:rPr>
        <w:t>中标</w:t>
      </w:r>
      <w:r>
        <w:rPr>
          <w:rFonts w:hint="default" w:ascii="Times New Roman" w:hAnsi="Times New Roman" w:eastAsia="宋体"/>
          <w:b w:val="0"/>
          <w:bCs w:val="0"/>
          <w:color w:val="auto"/>
          <w:sz w:val="24"/>
          <w:szCs w:val="24"/>
          <w:lang w:val="en-US" w:eastAsia="zh-CN"/>
        </w:rPr>
        <w:t>方按有关规定，采取严格的安全防护措施。</w:t>
      </w:r>
      <w:r>
        <w:rPr>
          <w:rFonts w:hint="eastAsia" w:ascii="Times New Roman" w:hAnsi="Times New Roman" w:eastAsia="宋体"/>
          <w:b w:val="0"/>
          <w:bCs w:val="0"/>
          <w:color w:val="auto"/>
          <w:sz w:val="24"/>
          <w:szCs w:val="24"/>
          <w:lang w:val="en-US" w:eastAsia="zh-CN"/>
        </w:rPr>
        <w:t>中标</w:t>
      </w:r>
      <w:r>
        <w:rPr>
          <w:rFonts w:hint="default" w:ascii="Times New Roman" w:hAnsi="Times New Roman" w:eastAsia="宋体"/>
          <w:b w:val="0"/>
          <w:bCs w:val="0"/>
          <w:color w:val="auto"/>
          <w:sz w:val="24"/>
          <w:szCs w:val="24"/>
          <w:lang w:val="en-US" w:eastAsia="zh-CN"/>
        </w:rPr>
        <w:t>方应承担该项目由于自身安全措施不力造成安全事故的责任和因此发生的费用。</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w:t>
      </w:r>
      <w:r>
        <w:rPr>
          <w:rFonts w:hint="default" w:ascii="Times New Roman" w:hAnsi="Times New Roman" w:eastAsia="宋体"/>
          <w:b w:val="0"/>
          <w:bCs w:val="0"/>
          <w:color w:val="auto"/>
          <w:sz w:val="24"/>
          <w:szCs w:val="24"/>
          <w:lang w:val="en-US" w:eastAsia="zh-CN"/>
        </w:rPr>
        <w:t>.5发生重大伤亡事故，</w:t>
      </w:r>
      <w:r>
        <w:rPr>
          <w:rFonts w:hint="eastAsia" w:ascii="Times New Roman" w:hAnsi="Times New Roman" w:eastAsia="宋体"/>
          <w:b w:val="0"/>
          <w:bCs w:val="0"/>
          <w:color w:val="auto"/>
          <w:sz w:val="24"/>
          <w:szCs w:val="24"/>
          <w:lang w:val="en-US" w:eastAsia="zh-CN"/>
        </w:rPr>
        <w:t>中标</w:t>
      </w:r>
      <w:r>
        <w:rPr>
          <w:rFonts w:hint="default" w:ascii="Times New Roman" w:hAnsi="Times New Roman" w:eastAsia="宋体"/>
          <w:b w:val="0"/>
          <w:bCs w:val="0"/>
          <w:color w:val="auto"/>
          <w:sz w:val="24"/>
          <w:szCs w:val="24"/>
          <w:lang w:val="en-US" w:eastAsia="zh-CN"/>
        </w:rPr>
        <w:t>方应按有关规定立即上报有关部门并通知</w:t>
      </w:r>
      <w:r>
        <w:rPr>
          <w:rFonts w:hint="eastAsia" w:ascii="Times New Roman" w:hAnsi="Times New Roman" w:eastAsia="宋体"/>
          <w:b w:val="0"/>
          <w:bCs w:val="0"/>
          <w:color w:val="auto"/>
          <w:sz w:val="24"/>
          <w:szCs w:val="24"/>
          <w:lang w:val="en-US" w:eastAsia="zh-CN"/>
        </w:rPr>
        <w:t>招标</w:t>
      </w:r>
      <w:r>
        <w:rPr>
          <w:rFonts w:hint="default" w:ascii="Times New Roman" w:hAnsi="Times New Roman" w:eastAsia="宋体"/>
          <w:b w:val="0"/>
          <w:bCs w:val="0"/>
          <w:color w:val="auto"/>
          <w:sz w:val="24"/>
          <w:szCs w:val="24"/>
          <w:lang w:val="en-US" w:eastAsia="zh-CN"/>
        </w:rPr>
        <w:t>方代表。同时按政府有关部门要求处理。</w:t>
      </w:r>
      <w:r>
        <w:rPr>
          <w:rFonts w:hint="eastAsia" w:ascii="Times New Roman" w:hAnsi="Times New Roman" w:eastAsia="宋体"/>
          <w:b w:val="0"/>
          <w:bCs w:val="0"/>
          <w:color w:val="auto"/>
          <w:sz w:val="24"/>
          <w:szCs w:val="24"/>
          <w:lang w:val="en-US" w:eastAsia="zh-CN"/>
        </w:rPr>
        <w:t>招标</w:t>
      </w:r>
      <w:r>
        <w:rPr>
          <w:rFonts w:hint="default" w:ascii="Times New Roman" w:hAnsi="Times New Roman" w:eastAsia="宋体"/>
          <w:b w:val="0"/>
          <w:bCs w:val="0"/>
          <w:color w:val="auto"/>
          <w:sz w:val="24"/>
          <w:szCs w:val="24"/>
          <w:lang w:val="en-US" w:eastAsia="zh-CN"/>
        </w:rPr>
        <w:t>方为抢救提供必要条件。发生的费用由事故责任方承担。</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Cs/>
          <w:color w:val="auto"/>
          <w:sz w:val="24"/>
          <w:szCs w:val="24"/>
          <w:lang w:eastAsia="zh-CN"/>
        </w:rPr>
      </w:pPr>
      <w:r>
        <w:rPr>
          <w:rFonts w:hint="eastAsia" w:ascii="Times New Roman" w:hAnsi="Times New Roman" w:eastAsia="宋体"/>
          <w:b/>
          <w:color w:val="auto"/>
          <w:sz w:val="24"/>
          <w:szCs w:val="24"/>
          <w:lang w:val="en-US" w:eastAsia="zh-CN"/>
        </w:rPr>
        <w:t>7</w:t>
      </w:r>
      <w:r>
        <w:rPr>
          <w:rFonts w:hint="eastAsia" w:ascii="Times New Roman" w:hAnsi="Times New Roman" w:eastAsia="宋体"/>
          <w:b/>
          <w:color w:val="auto"/>
          <w:sz w:val="24"/>
          <w:szCs w:val="24"/>
        </w:rPr>
        <w:t>.质量保证</w:t>
      </w:r>
      <w:r>
        <w:rPr>
          <w:rFonts w:hint="eastAsia" w:ascii="Times New Roman" w:hAnsi="Times New Roman" w:eastAsia="宋体"/>
          <w:b w:val="0"/>
          <w:bCs/>
          <w:color w:val="auto"/>
          <w:sz w:val="24"/>
          <w:szCs w:val="24"/>
          <w:lang w:eastAsia="zh-CN"/>
        </w:rPr>
        <w:t>：质量保证期为验收合格后12个月，投标人可承诺更长的质保期。</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default" w:ascii="Times New Roman" w:hAnsi="Times New Roman" w:eastAsia="宋体"/>
          <w:b w:val="0"/>
          <w:bCs/>
          <w:color w:val="auto"/>
          <w:sz w:val="24"/>
          <w:szCs w:val="24"/>
          <w:lang w:val="en-US" w:eastAsia="zh-CN"/>
        </w:rPr>
      </w:pPr>
      <w:r>
        <w:rPr>
          <w:rFonts w:hint="eastAsia" w:ascii="Times New Roman" w:hAnsi="Times New Roman" w:eastAsia="宋体"/>
          <w:b/>
          <w:color w:val="auto"/>
          <w:sz w:val="24"/>
          <w:szCs w:val="24"/>
          <w:lang w:val="en-US" w:eastAsia="zh-CN"/>
        </w:rPr>
        <w:t>8</w:t>
      </w:r>
      <w:r>
        <w:rPr>
          <w:rFonts w:hint="eastAsia" w:ascii="Times New Roman" w:hAnsi="Times New Roman" w:eastAsia="宋体"/>
          <w:b/>
          <w:color w:val="auto"/>
          <w:sz w:val="24"/>
          <w:szCs w:val="24"/>
        </w:rPr>
        <w:t>.付款方式</w:t>
      </w:r>
      <w:r>
        <w:rPr>
          <w:rFonts w:hint="eastAsia" w:ascii="Times New Roman" w:hAnsi="Times New Roman" w:eastAsia="宋体"/>
          <w:b w:val="0"/>
          <w:bCs/>
          <w:color w:val="auto"/>
          <w:sz w:val="24"/>
          <w:szCs w:val="24"/>
          <w:lang w:eastAsia="zh-CN"/>
        </w:rPr>
        <w:t>：本工程不支付预付款和工程进度款，工程验收合格后招标方财务部收到全额发票45天支付工程总合同价的90%（银行承兑汇票），质保金为总合同价的10</w:t>
      </w:r>
      <w:r>
        <w:rPr>
          <w:rFonts w:hint="eastAsia" w:ascii="Times New Roman" w:hAnsi="Times New Roman" w:eastAsia="宋体"/>
          <w:b w:val="0"/>
          <w:bCs/>
          <w:color w:val="auto"/>
          <w:sz w:val="24"/>
          <w:szCs w:val="24"/>
          <w:lang w:val="en-US" w:eastAsia="zh-CN"/>
        </w:rPr>
        <w:t>%</w:t>
      </w:r>
      <w:r>
        <w:rPr>
          <w:rFonts w:hint="eastAsia" w:ascii="Times New Roman" w:hAnsi="Times New Roman" w:eastAsia="宋体"/>
          <w:b w:val="0"/>
          <w:bCs/>
          <w:color w:val="auto"/>
          <w:sz w:val="24"/>
          <w:szCs w:val="24"/>
          <w:lang w:eastAsia="zh-CN"/>
        </w:rPr>
        <w:t>，在质保期满后三十天内付清，质保金不计利息。人民币报价和结算，中标人开具增值税专用发票。</w:t>
      </w:r>
      <w:r>
        <w:rPr>
          <w:rFonts w:hint="eastAsia" w:ascii="Times New Roman" w:hAnsi="Times New Roman" w:eastAsia="宋体"/>
          <w:b/>
          <w:bCs w:val="0"/>
          <w:color w:val="auto"/>
          <w:sz w:val="24"/>
          <w:szCs w:val="24"/>
          <w:lang w:eastAsia="zh-CN"/>
        </w:rPr>
        <w:t>付款方式不得偏离，否则投标将被否决</w:t>
      </w:r>
      <w:r>
        <w:rPr>
          <w:rFonts w:hint="eastAsia" w:ascii="Times New Roman" w:hAnsi="Times New Roman" w:eastAsia="宋体"/>
          <w:b w:val="0"/>
          <w:bCs/>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9</w:t>
      </w:r>
      <w:r>
        <w:rPr>
          <w:rFonts w:hint="eastAsia" w:ascii="Times New Roman" w:hAnsi="Times New Roman" w:eastAsia="宋体"/>
          <w:b/>
          <w:color w:val="auto"/>
          <w:sz w:val="24"/>
          <w:szCs w:val="24"/>
        </w:rPr>
        <w:t>.报价规定</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9.1</w:t>
      </w:r>
      <w:r>
        <w:rPr>
          <w:rFonts w:ascii="Times New Roman" w:hAnsi="Times New Roman" w:eastAsia="宋体"/>
          <w:color w:val="auto"/>
          <w:sz w:val="24"/>
          <w:szCs w:val="24"/>
        </w:rPr>
        <w:t>本次招标采取一次性报价方式。</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9</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2报价为含增值税价格（投标报价时请注明发票税率），以一票制方式结算。</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9.3本项目设置招标控制价为</w:t>
      </w:r>
      <w:r>
        <w:rPr>
          <w:rFonts w:hint="eastAsia" w:ascii="Times New Roman" w:hAnsi="Times New Roman" w:eastAsia="宋体"/>
          <w:b/>
          <w:bCs/>
          <w:color w:val="auto"/>
          <w:sz w:val="24"/>
          <w:szCs w:val="24"/>
          <w:lang w:val="en-US" w:eastAsia="zh-CN"/>
        </w:rPr>
        <w:t>壹拾柒万元整（¥170000）</w:t>
      </w:r>
      <w:r>
        <w:rPr>
          <w:rFonts w:hint="eastAsia" w:ascii="Times New Roman" w:hAnsi="Times New Roman" w:eastAsia="宋体"/>
          <w:color w:val="auto"/>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10</w:t>
      </w:r>
      <w:r>
        <w:rPr>
          <w:rFonts w:hint="eastAsia" w:ascii="Times New Roman" w:hAnsi="Times New Roman" w:eastAsia="宋体"/>
          <w:b/>
          <w:color w:val="auto"/>
          <w:sz w:val="24"/>
          <w:szCs w:val="24"/>
        </w:rPr>
        <w:t>.评标办法</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10.1</w:t>
      </w:r>
      <w:r>
        <w:rPr>
          <w:rFonts w:hint="eastAsia" w:ascii="Times New Roman" w:hAnsi="Times New Roman" w:eastAsia="宋体"/>
          <w:color w:val="auto"/>
          <w:sz w:val="24"/>
          <w:szCs w:val="24"/>
        </w:rPr>
        <w:t>本项目采用综合评估法评标。经综合评审得分排名第一名的投标人确定为中标候选人，中标候选人将在本公司网站上公示三天，无异议后转为中标人。</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10.2投标人报价超过招标控制价的，则否决其投标。</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10</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评分项目：</w:t>
      </w:r>
    </w:p>
    <w:tbl>
      <w:tblPr>
        <w:tblStyle w:val="11"/>
        <w:tblW w:w="8422"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
      <w:tblGrid>
        <w:gridCol w:w="709"/>
        <w:gridCol w:w="1418"/>
        <w:gridCol w:w="708"/>
        <w:gridCol w:w="558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Ex>
        <w:trPr>
          <w:trHeight w:val="36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序号</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评议内容</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分值</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评议办法</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1</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投标评审价</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6</w:t>
            </w:r>
            <w:r>
              <w:rPr>
                <w:rFonts w:ascii="Times New Roman" w:hAnsi="Times New Roman" w:eastAsia="宋体" w:cs="Times New Roman"/>
                <w:color w:val="auto"/>
                <w:kern w:val="0"/>
                <w:szCs w:val="21"/>
              </w:rPr>
              <w:t>0分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rPr>
              <w:t>当AG＞1.1AD时，F=</w:t>
            </w:r>
            <w:r>
              <w:rPr>
                <w:rFonts w:hint="eastAsia" w:ascii="Times New Roman" w:hAnsi="Times New Roman" w:eastAsia="宋体" w:cs="Times New Roman"/>
                <w:color w:val="auto"/>
                <w:kern w:val="0"/>
                <w:szCs w:val="21"/>
                <w:lang w:val="en-US" w:eastAsia="zh-CN"/>
              </w:rPr>
              <w:t>6</w:t>
            </w:r>
            <w:r>
              <w:rPr>
                <w:rFonts w:hint="eastAsia" w:ascii="Times New Roman" w:hAnsi="Times New Roman" w:eastAsia="宋体" w:cs="Times New Roman"/>
                <w:color w:val="auto"/>
                <w:kern w:val="0"/>
                <w:szCs w:val="21"/>
              </w:rPr>
              <w:t>0-</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AG-AD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lang w:val="en-US" w:eastAsia="zh-CN"/>
              </w:rPr>
              <w:t>6</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当AG≤1.1AD时，F=</w:t>
            </w:r>
            <w:r>
              <w:rPr>
                <w:rFonts w:hint="eastAsia" w:ascii="Times New Roman" w:hAnsi="Times New Roman" w:eastAsia="宋体" w:cs="Times New Roman"/>
                <w:color w:val="auto"/>
                <w:kern w:val="0"/>
                <w:szCs w:val="21"/>
                <w:lang w:val="en-US" w:eastAsia="zh-CN"/>
              </w:rPr>
              <w:t>6</w:t>
            </w:r>
            <w:r>
              <w:rPr>
                <w:rFonts w:hint="eastAsia" w:ascii="Times New Roman" w:hAnsi="Times New Roman" w:eastAsia="宋体" w:cs="Times New Roman"/>
                <w:color w:val="auto"/>
                <w:kern w:val="0"/>
                <w:szCs w:val="21"/>
              </w:rPr>
              <w:t>0-</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÷AD×</w:t>
            </w:r>
            <w:r>
              <w:rPr>
                <w:rFonts w:hint="eastAsia" w:ascii="Times New Roman" w:hAnsi="Times New Roman" w:eastAsia="宋体" w:cs="Times New Roman"/>
                <w:color w:val="auto"/>
                <w:kern w:val="0"/>
                <w:szCs w:val="21"/>
                <w:lang w:val="en-US" w:eastAsia="zh-CN"/>
              </w:rPr>
              <w:t>4</w:t>
            </w:r>
            <w:r>
              <w:rPr>
                <w:rFonts w:hint="eastAsia" w:ascii="Times New Roman" w:hAnsi="Times New Roman" w:eastAsia="宋体" w:cs="Times New Roman"/>
                <w:color w:val="auto"/>
                <w:kern w:val="0"/>
                <w:szCs w:val="21"/>
              </w:rPr>
              <w:t>0</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其中：F为投标评审价分；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w:t>
            </w:r>
            <w:r>
              <w:rPr>
                <w:rFonts w:hint="eastAsia" w:ascii="Times New Roman" w:hAnsi="Times New Roman" w:eastAsia="宋体" w:cs="Times New Roman"/>
                <w:color w:val="auto"/>
                <w:kern w:val="0"/>
                <w:szCs w:val="21"/>
                <w:lang w:val="en-US" w:eastAsia="zh-CN"/>
              </w:rPr>
              <w:t xml:space="preserve">  </w:t>
            </w:r>
            <w:r>
              <w:rPr>
                <w:rFonts w:hint="eastAsia" w:ascii="Times New Roman" w:hAnsi="Times New Roman" w:eastAsia="宋体" w:cs="Times New Roman"/>
                <w:color w:val="auto"/>
                <w:kern w:val="0"/>
                <w:szCs w:val="21"/>
              </w:rPr>
              <w:t>为投标评审价；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AG为最高投标评审价；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AD为最低投标评审价。</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2</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技术评审</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35</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①</w:t>
            </w:r>
            <w:r>
              <w:rPr>
                <w:rFonts w:hint="default" w:ascii="Times New Roman" w:hAnsi="Times New Roman" w:eastAsia="宋体" w:cs="Times New Roman"/>
                <w:color w:val="auto"/>
                <w:kern w:val="0"/>
                <w:szCs w:val="21"/>
                <w:lang w:val="en-US" w:eastAsia="zh-CN"/>
              </w:rPr>
              <w:t>施工方案：总分</w:t>
            </w:r>
            <w:r>
              <w:rPr>
                <w:rFonts w:hint="eastAsia" w:ascii="Times New Roman" w:hAnsi="Times New Roman" w:eastAsia="宋体" w:cs="Times New Roman"/>
                <w:color w:val="auto"/>
                <w:kern w:val="0"/>
                <w:szCs w:val="21"/>
                <w:lang w:val="en-US" w:eastAsia="zh-CN"/>
              </w:rPr>
              <w:t>25</w:t>
            </w:r>
            <w:r>
              <w:rPr>
                <w:rFonts w:hint="default" w:ascii="Times New Roman" w:hAnsi="Times New Roman" w:eastAsia="宋体" w:cs="Times New Roman"/>
                <w:color w:val="auto"/>
                <w:kern w:val="0"/>
                <w:szCs w:val="21"/>
                <w:lang w:val="en-US" w:eastAsia="zh-CN"/>
              </w:rPr>
              <w:t>分（修理方案、图纸、焊接工艺和焊后热处理工艺、材料等）；</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②</w:t>
            </w:r>
            <w:r>
              <w:rPr>
                <w:rFonts w:hint="default" w:ascii="Times New Roman" w:hAnsi="Times New Roman" w:eastAsia="宋体" w:cs="Times New Roman"/>
                <w:color w:val="auto"/>
                <w:kern w:val="0"/>
                <w:szCs w:val="21"/>
                <w:lang w:val="en-US" w:eastAsia="zh-CN"/>
              </w:rPr>
              <w:t>安全措施：3分；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③</w:t>
            </w:r>
            <w:r>
              <w:rPr>
                <w:rFonts w:hint="default" w:ascii="Times New Roman" w:hAnsi="Times New Roman" w:eastAsia="宋体" w:cs="Times New Roman"/>
                <w:color w:val="auto"/>
                <w:kern w:val="0"/>
                <w:szCs w:val="21"/>
                <w:lang w:val="en-US" w:eastAsia="zh-CN"/>
              </w:rPr>
              <w:t>专项防火技术方案：2分；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④</w:t>
            </w:r>
            <w:r>
              <w:rPr>
                <w:rFonts w:hint="default" w:ascii="Times New Roman" w:hAnsi="Times New Roman" w:eastAsia="宋体" w:cs="Times New Roman"/>
                <w:color w:val="auto"/>
                <w:kern w:val="0"/>
                <w:szCs w:val="21"/>
                <w:lang w:val="en-US" w:eastAsia="zh-CN"/>
              </w:rPr>
              <w:t>工期：5分，最短工期得最高分，其他按比例打分。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F=</w:t>
            </w:r>
            <w:r>
              <w:rPr>
                <w:rFonts w:hint="eastAsia" w:ascii="Times New Roman" w:hAnsi="Times New Roman" w:eastAsia="宋体" w:cs="Times New Roman"/>
                <w:color w:val="auto"/>
                <w:kern w:val="0"/>
                <w:szCs w:val="21"/>
                <w:lang w:val="en-US" w:eastAsia="zh-CN"/>
              </w:rPr>
              <w:t>5-</w:t>
            </w:r>
            <w:r>
              <w:rPr>
                <w:rFonts w:hint="default" w:ascii="Times New Roman" w:hAnsi="Times New Roman" w:eastAsia="宋体" w:cs="Times New Roman"/>
                <w:color w:val="auto"/>
                <w:kern w:val="0"/>
                <w:szCs w:val="21"/>
                <w:lang w:val="en-US" w:eastAsia="zh-CN"/>
              </w:rPr>
              <w:t>（A-AD）÷（AG-AD）×5</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⑤</w:t>
            </w:r>
            <w:r>
              <w:rPr>
                <w:rFonts w:hint="default" w:ascii="Times New Roman" w:hAnsi="Times New Roman" w:eastAsia="宋体" w:cs="Times New Roman"/>
                <w:color w:val="auto"/>
                <w:kern w:val="0"/>
                <w:szCs w:val="21"/>
                <w:lang w:val="en-US" w:eastAsia="zh-CN"/>
              </w:rPr>
              <w:t>不满足施工安全及技术要求的，按废标处理。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3</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rPr>
              <w:t>业绩及</w:t>
            </w:r>
            <w:r>
              <w:rPr>
                <w:rFonts w:hint="eastAsia" w:ascii="Times New Roman" w:hAnsi="Times New Roman" w:eastAsia="宋体" w:cs="Times New Roman"/>
                <w:color w:val="auto"/>
                <w:kern w:val="0"/>
                <w:szCs w:val="21"/>
                <w:lang w:eastAsia="zh-CN"/>
              </w:rPr>
              <w:t>售后服务</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5</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①类似业绩：3分（三年内螺旋修理的合同业绩，每份合同2分，封顶3分）；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②质保承诺：2分（1年1分，1年以上每增加六个月得1分，最高2分）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Ex>
        <w:trPr>
          <w:trHeight w:val="462"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4</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付款方式</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val="en-US" w:eastAsia="zh-CN"/>
              </w:rPr>
            </w:pPr>
            <w:r>
              <w:rPr>
                <w:rFonts w:hint="eastAsia" w:ascii="宋体" w:hAnsi="宋体" w:eastAsia="宋体" w:cs="宋体"/>
                <w:color w:val="auto"/>
                <w:kern w:val="0"/>
                <w:szCs w:val="21"/>
                <w:lang w:val="en-US" w:eastAsia="zh-CN"/>
              </w:rPr>
              <w:t>/</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color w:val="auto"/>
                <w:kern w:val="0"/>
                <w:szCs w:val="21"/>
                <w:lang w:val="en-US" w:eastAsia="zh-CN"/>
              </w:rPr>
            </w:pPr>
            <w:r>
              <w:rPr>
                <w:rFonts w:hint="eastAsia" w:ascii="Times New Roman" w:hAnsi="Times New Roman" w:eastAsia="宋体" w:cs="Times New Roman"/>
                <w:b/>
                <w:color w:val="auto"/>
                <w:kern w:val="0"/>
                <w:szCs w:val="21"/>
                <w:lang w:val="en-US" w:eastAsia="zh-CN"/>
              </w:rPr>
              <w:t>付款方式不得偏离，否则投标将被否决。</w:t>
            </w:r>
          </w:p>
        </w:tc>
      </w:tr>
    </w:tbl>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注：评分时分值保留二位小数，若有二位及以上并列最高分时，将由并列最高分的投标人重新报价（在标的无重大变更的情况下，重新报价不得高于前轮报价，若高于前轮报价则商务评分为</w:t>
      </w:r>
      <w:r>
        <w:rPr>
          <w:rFonts w:ascii="Times New Roman" w:hAnsi="Times New Roman" w:eastAsia="宋体"/>
          <w:color w:val="auto"/>
          <w:sz w:val="24"/>
          <w:szCs w:val="24"/>
        </w:rPr>
        <w:t>0分）其它评分方法不变，直至产生唯一最高分。</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11</w:t>
      </w:r>
      <w:r>
        <w:rPr>
          <w:rFonts w:hint="eastAsia" w:ascii="Times New Roman" w:hAnsi="Times New Roman" w:eastAsia="宋体"/>
          <w:b/>
          <w:color w:val="auto"/>
          <w:sz w:val="24"/>
          <w:szCs w:val="24"/>
        </w:rPr>
        <w:t>.开标时间、地点及参与方式</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.1开标时间、地点：20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月</w:t>
      </w:r>
      <w:r>
        <w:rPr>
          <w:rFonts w:hint="eastAsia" w:ascii="Times New Roman" w:hAnsi="Times New Roman"/>
          <w:color w:val="auto"/>
          <w:sz w:val="24"/>
          <w:szCs w:val="24"/>
          <w:lang w:val="en-US" w:eastAsia="zh-CN"/>
        </w:rPr>
        <w:t>14</w:t>
      </w:r>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10</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rPr>
        <w:t>0</w:t>
      </w:r>
      <w:r>
        <w:rPr>
          <w:rFonts w:ascii="Times New Roman" w:hAnsi="Times New Roman" w:eastAsia="宋体"/>
          <w:color w:val="auto"/>
          <w:sz w:val="24"/>
          <w:szCs w:val="24"/>
        </w:rPr>
        <w:t>时（北京时间）在青山纸业文化楼4楼招标办会议室公开开标。</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.2参与方式：</w:t>
      </w:r>
      <w:r>
        <w:rPr>
          <w:rFonts w:hint="eastAsia" w:ascii="Times New Roman" w:hAnsi="Times New Roman" w:eastAsia="宋体"/>
          <w:color w:val="auto"/>
          <w:sz w:val="24"/>
          <w:szCs w:val="24"/>
        </w:rPr>
        <w:t>以下三种参与方式投标人可任选一种</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.2.</w:t>
      </w:r>
      <w:r>
        <w:rPr>
          <w:rFonts w:hint="eastAsia" w:ascii="Times New Roman" w:hAnsi="Times New Roman" w:eastAsia="宋体"/>
          <w:color w:val="auto"/>
          <w:sz w:val="24"/>
          <w:szCs w:val="24"/>
        </w:rPr>
        <w:t>1</w:t>
      </w:r>
      <w:r>
        <w:rPr>
          <w:rFonts w:ascii="Times New Roman" w:hAnsi="Times New Roman" w:eastAsia="宋体"/>
          <w:color w:val="auto"/>
          <w:sz w:val="24"/>
          <w:szCs w:val="24"/>
        </w:rPr>
        <w:t>现场：</w:t>
      </w:r>
      <w:r>
        <w:rPr>
          <w:rFonts w:hint="eastAsia" w:ascii="Times New Roman" w:hAnsi="Times New Roman" w:eastAsia="宋体"/>
          <w:color w:val="auto"/>
          <w:sz w:val="24"/>
          <w:szCs w:val="24"/>
        </w:rPr>
        <w:t>参与现场投标的，投标人应于开标之前将投标文件送至青山纸业文化楼4楼招标办会议室。到会议现场参加开标的投标人代表，须遵守沙县政府和本公司关于新冠肺炎疫情防控的相关规定。</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.2.2邮寄：以邮寄</w:t>
      </w:r>
      <w:r>
        <w:rPr>
          <w:rFonts w:hint="eastAsia" w:ascii="Times New Roman" w:hAnsi="Times New Roman" w:eastAsia="宋体"/>
          <w:color w:val="auto"/>
          <w:sz w:val="24"/>
          <w:szCs w:val="24"/>
        </w:rPr>
        <w:t>投标文件</w:t>
      </w:r>
      <w:r>
        <w:rPr>
          <w:rFonts w:ascii="Times New Roman" w:hAnsi="Times New Roman" w:eastAsia="宋体"/>
          <w:color w:val="auto"/>
          <w:sz w:val="24"/>
          <w:szCs w:val="24"/>
        </w:rPr>
        <w:t>方式参与投标</w:t>
      </w:r>
      <w:r>
        <w:rPr>
          <w:rFonts w:hint="eastAsia" w:ascii="Times New Roman" w:hAnsi="Times New Roman" w:eastAsia="宋体"/>
          <w:color w:val="auto"/>
          <w:sz w:val="24"/>
          <w:szCs w:val="24"/>
        </w:rPr>
        <w:t>的</w:t>
      </w:r>
      <w:r>
        <w:rPr>
          <w:rFonts w:ascii="Times New Roman" w:hAnsi="Times New Roman" w:eastAsia="宋体"/>
          <w:color w:val="auto"/>
          <w:sz w:val="24"/>
          <w:szCs w:val="24"/>
        </w:rPr>
        <w:t>，</w:t>
      </w:r>
      <w:r>
        <w:rPr>
          <w:rFonts w:hint="eastAsia" w:ascii="Times New Roman" w:hAnsi="Times New Roman" w:eastAsia="宋体"/>
          <w:color w:val="auto"/>
          <w:sz w:val="24"/>
          <w:szCs w:val="24"/>
        </w:rPr>
        <w:t>投标文件应于开标之前寄达，</w:t>
      </w:r>
      <w:r>
        <w:rPr>
          <w:rFonts w:ascii="Times New Roman" w:hAnsi="Times New Roman" w:eastAsia="宋体"/>
          <w:color w:val="auto"/>
          <w:sz w:val="24"/>
          <w:szCs w:val="24"/>
          <w:u w:val="none"/>
        </w:rPr>
        <w:t>快递单上须注明投标单位名称和参与的招标编号</w:t>
      </w:r>
      <w:r>
        <w:rPr>
          <w:rFonts w:ascii="Times New Roman" w:hAnsi="Times New Roman" w:eastAsia="宋体"/>
          <w:color w:val="auto"/>
          <w:sz w:val="24"/>
          <w:szCs w:val="24"/>
        </w:rPr>
        <w:t>，建议选用邮政EMS或顺丰快递，开标之前为确保寄达，</w:t>
      </w:r>
      <w:r>
        <w:rPr>
          <w:rFonts w:hint="eastAsia" w:ascii="Times New Roman" w:hAnsi="Times New Roman" w:eastAsia="宋体"/>
          <w:color w:val="auto"/>
          <w:sz w:val="24"/>
          <w:szCs w:val="24"/>
        </w:rPr>
        <w:t>应</w:t>
      </w:r>
      <w:r>
        <w:rPr>
          <w:rFonts w:ascii="Times New Roman" w:hAnsi="Times New Roman" w:eastAsia="宋体"/>
          <w:color w:val="auto"/>
          <w:sz w:val="24"/>
          <w:szCs w:val="24"/>
        </w:rPr>
        <w:t>事先与我司招标办确认。（邮寄地址：福建省沙县青州镇，单位名称：福建省青山纸业股份有限公司招标办，收件人</w:t>
      </w:r>
      <w:r>
        <w:rPr>
          <w:rFonts w:hint="eastAsia" w:ascii="Times New Roman" w:hAnsi="Times New Roman" w:eastAsia="宋体"/>
          <w:color w:val="auto"/>
          <w:sz w:val="24"/>
          <w:szCs w:val="24"/>
        </w:rPr>
        <w:t>：刘玲</w:t>
      </w:r>
      <w:r>
        <w:rPr>
          <w:rFonts w:ascii="Times New Roman" w:hAnsi="Times New Roman" w:eastAsia="宋体"/>
          <w:color w:val="auto"/>
          <w:sz w:val="24"/>
          <w:szCs w:val="24"/>
        </w:rPr>
        <w:t>，联系电话：0598-5658595,招标人拒绝接受邮寄到其他收件人的邮件。）</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highlight w:val="none"/>
          <w:lang w:val="en-US" w:eastAsia="zh-CN"/>
        </w:rPr>
        <w:t>11.2.3网络</w:t>
      </w:r>
      <w:r>
        <w:rPr>
          <w:rFonts w:hint="eastAsia" w:ascii="Times New Roman" w:hAnsi="Times New Roman" w:eastAsia="宋体"/>
          <w:color w:val="auto"/>
          <w:sz w:val="24"/>
          <w:szCs w:val="24"/>
          <w:lang w:val="en-US" w:eastAsia="zh-CN"/>
        </w:rPr>
        <w:t>：在</w:t>
      </w:r>
      <w:r>
        <w:rPr>
          <w:rFonts w:hint="eastAsia" w:ascii="Times New Roman" w:hAnsi="Times New Roman" w:eastAsia="宋体"/>
          <w:sz w:val="24"/>
          <w:szCs w:val="24"/>
          <w:lang w:val="en-US" w:eastAsia="zh-CN"/>
        </w:rPr>
        <w:t>阿里平台1688采购门户网址</w:t>
      </w:r>
      <w:r>
        <w:rPr>
          <w:rFonts w:hint="eastAsia" w:ascii="Times New Roman" w:hAnsi="Times New Roman" w:eastAsia="宋体"/>
          <w:sz w:val="24"/>
          <w:szCs w:val="24"/>
          <w:lang w:val="en-US" w:eastAsia="zh-CN"/>
        </w:rPr>
        <w:fldChar w:fldCharType="begin"/>
      </w:r>
      <w:r>
        <w:rPr>
          <w:rFonts w:hint="eastAsia" w:ascii="Times New Roman" w:hAnsi="Times New Roman" w:eastAsia="宋体"/>
          <w:sz w:val="24"/>
          <w:szCs w:val="24"/>
          <w:lang w:val="en-US" w:eastAsia="zh-CN"/>
        </w:rPr>
        <w:instrText xml:space="preserve"> HYPERLINK "https://fjqszy.go.1688.com" </w:instrText>
      </w:r>
      <w:r>
        <w:rPr>
          <w:rFonts w:hint="eastAsia" w:ascii="Times New Roman" w:hAnsi="Times New Roman" w:eastAsia="宋体"/>
          <w:sz w:val="24"/>
          <w:szCs w:val="24"/>
          <w:lang w:val="en-US" w:eastAsia="zh-CN"/>
        </w:rPr>
        <w:fldChar w:fldCharType="separate"/>
      </w:r>
      <w:r>
        <w:rPr>
          <w:rStyle w:val="10"/>
          <w:rFonts w:hint="eastAsia" w:ascii="Times New Roman" w:hAnsi="Times New Roman" w:eastAsia="宋体"/>
          <w:sz w:val="24"/>
          <w:szCs w:val="24"/>
          <w:lang w:val="en-US" w:eastAsia="zh-CN"/>
        </w:rPr>
        <w:t>https://fjqszy.go.1688.com</w:t>
      </w:r>
      <w:r>
        <w:rPr>
          <w:rFonts w:hint="eastAsia" w:ascii="Times New Roman" w:hAnsi="Times New Roman" w:eastAsia="宋体"/>
          <w:sz w:val="24"/>
          <w:szCs w:val="24"/>
          <w:lang w:val="en-US" w:eastAsia="zh-CN"/>
        </w:rPr>
        <w:fldChar w:fldCharType="end"/>
      </w:r>
      <w:r>
        <w:rPr>
          <w:rFonts w:hint="eastAsia" w:ascii="Times New Roman" w:hAnsi="Times New Roman" w:eastAsia="宋体"/>
          <w:sz w:val="24"/>
          <w:szCs w:val="24"/>
          <w:lang w:val="en-US" w:eastAsia="zh-CN"/>
        </w:rPr>
        <w:t>上参与投标的，应按招标文件的要求制作投标文件后扫描上传至1688采购平台，投标保证金凭证、资格文件、技术文件、商务文件分别扫描上传。</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2</w:t>
      </w:r>
      <w:r>
        <w:rPr>
          <w:rFonts w:hint="eastAsia" w:ascii="Times New Roman" w:hAnsi="Times New Roman" w:eastAsia="宋体"/>
          <w:b/>
          <w:color w:val="auto"/>
          <w:sz w:val="24"/>
          <w:szCs w:val="24"/>
        </w:rPr>
        <w:t>.投标及履约保证金</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.1投标人应在</w:t>
      </w:r>
      <w:r>
        <w:rPr>
          <w:rFonts w:hint="eastAsia" w:ascii="Times New Roman" w:hAnsi="Times New Roman" w:eastAsia="宋体"/>
          <w:color w:val="auto"/>
          <w:sz w:val="24"/>
          <w:szCs w:val="24"/>
        </w:rPr>
        <w:t>开标时间之前</w:t>
      </w:r>
      <w:r>
        <w:rPr>
          <w:rFonts w:ascii="Times New Roman" w:hAnsi="Times New Roman" w:eastAsia="宋体"/>
          <w:color w:val="auto"/>
          <w:sz w:val="24"/>
          <w:szCs w:val="24"/>
        </w:rPr>
        <w:t>缴交投标保证金</w:t>
      </w:r>
      <w:r>
        <w:rPr>
          <w:rFonts w:hint="eastAsia" w:ascii="Times New Roman" w:hAnsi="Times New Roman" w:eastAsia="宋体"/>
          <w:color w:val="auto"/>
          <w:sz w:val="24"/>
          <w:szCs w:val="24"/>
          <w:lang w:val="en-US" w:eastAsia="zh-CN"/>
        </w:rPr>
        <w:t>34</w:t>
      </w:r>
      <w:r>
        <w:rPr>
          <w:rFonts w:hint="eastAsia" w:ascii="Times New Roman" w:hAnsi="Times New Roman" w:eastAsia="宋体"/>
          <w:color w:val="auto"/>
          <w:sz w:val="24"/>
          <w:szCs w:val="24"/>
          <w:highlight w:val="none"/>
          <w:lang w:val="en-US" w:eastAsia="zh-CN"/>
        </w:rPr>
        <w:t>00</w:t>
      </w:r>
      <w:r>
        <w:rPr>
          <w:rFonts w:ascii="Times New Roman" w:hAnsi="Times New Roman" w:eastAsia="宋体"/>
          <w:color w:val="auto"/>
          <w:sz w:val="24"/>
          <w:szCs w:val="24"/>
        </w:rPr>
        <w:t>元。</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.2投标保证金任选如下一种形式提交：</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.2.1银行电汇；（开户银行：工商银行沙县青州支行、账户名：福建省青山纸业股份有限公司、账号：1404049409001000160。</w:t>
      </w:r>
      <w:r>
        <w:rPr>
          <w:rFonts w:hint="eastAsia" w:ascii="Times New Roman" w:hAnsi="Times New Roman" w:eastAsia="宋体"/>
          <w:color w:val="auto"/>
          <w:sz w:val="24"/>
          <w:szCs w:val="24"/>
          <w:lang w:eastAsia="zh-CN"/>
        </w:rPr>
        <w:t>公对公转账，</w:t>
      </w:r>
      <w:r>
        <w:rPr>
          <w:rFonts w:ascii="Times New Roman" w:hAnsi="Times New Roman" w:eastAsia="宋体"/>
          <w:color w:val="auto"/>
          <w:sz w:val="24"/>
          <w:szCs w:val="24"/>
        </w:rPr>
        <w:t>汇款人须注明</w:t>
      </w:r>
      <w:r>
        <w:rPr>
          <w:rFonts w:hint="eastAsia" w:ascii="Times New Roman" w:hAnsi="Times New Roman" w:eastAsia="宋体"/>
          <w:color w:val="auto"/>
          <w:sz w:val="24"/>
          <w:szCs w:val="24"/>
        </w:rPr>
        <w:t>参与的招标编号</w:t>
      </w:r>
      <w:r>
        <w:rPr>
          <w:rFonts w:ascii="Times New Roman" w:hAnsi="Times New Roman" w:eastAsia="宋体"/>
          <w:color w:val="auto"/>
          <w:sz w:val="24"/>
          <w:szCs w:val="24"/>
        </w:rPr>
        <w:t>）。</w:t>
      </w:r>
      <w:r>
        <w:rPr>
          <w:rFonts w:ascii="Times New Roman" w:hAnsi="Times New Roman" w:eastAsia="宋体"/>
          <w:color w:val="auto"/>
          <w:sz w:val="24"/>
          <w:szCs w:val="24"/>
          <w:u w:val="none"/>
        </w:rPr>
        <w:t>银行电汇回单单独密封装订</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.2.2投标保证金函；若本公司与投标人尚有</w:t>
      </w:r>
      <w:r>
        <w:rPr>
          <w:rFonts w:hint="eastAsia" w:ascii="Times New Roman" w:hAnsi="Times New Roman" w:eastAsia="宋体"/>
          <w:color w:val="auto"/>
          <w:sz w:val="24"/>
          <w:szCs w:val="24"/>
          <w:lang w:eastAsia="zh-CN"/>
        </w:rPr>
        <w:t>合同已履行完成的</w:t>
      </w:r>
      <w:r>
        <w:rPr>
          <w:rFonts w:hint="eastAsia" w:ascii="Times New Roman" w:hAnsi="Times New Roman" w:eastAsia="宋体"/>
          <w:b w:val="0"/>
          <w:bCs w:val="0"/>
          <w:color w:val="auto"/>
          <w:sz w:val="24"/>
          <w:szCs w:val="24"/>
          <w:lang w:eastAsia="zh-CN"/>
        </w:rPr>
        <w:t>应付</w:t>
      </w:r>
      <w:r>
        <w:rPr>
          <w:rFonts w:ascii="Times New Roman" w:hAnsi="Times New Roman" w:eastAsia="宋体"/>
          <w:color w:val="auto"/>
          <w:sz w:val="24"/>
          <w:szCs w:val="24"/>
        </w:rPr>
        <w:t>未结清货款（各类未到期的保证金除外）且数额足够抵扣投标保证金时，投标人可出具正式公函明确要求本公司从其未结货款中转扣,但</w:t>
      </w:r>
      <w:r>
        <w:rPr>
          <w:rFonts w:hint="eastAsia" w:ascii="Times New Roman" w:hAnsi="Times New Roman" w:eastAsia="宋体"/>
          <w:color w:val="auto"/>
          <w:sz w:val="24"/>
          <w:szCs w:val="24"/>
        </w:rPr>
        <w:t>应</w:t>
      </w:r>
      <w:r>
        <w:rPr>
          <w:rFonts w:ascii="Times New Roman" w:hAnsi="Times New Roman" w:eastAsia="宋体"/>
          <w:color w:val="auto"/>
          <w:sz w:val="24"/>
          <w:szCs w:val="24"/>
        </w:rPr>
        <w:t>在开标前得到本公司财务的确认。</w:t>
      </w:r>
      <w:r>
        <w:rPr>
          <w:rFonts w:ascii="Times New Roman" w:hAnsi="Times New Roman" w:eastAsia="宋体"/>
          <w:color w:val="auto"/>
          <w:sz w:val="24"/>
          <w:szCs w:val="24"/>
          <w:u w:val="none"/>
        </w:rPr>
        <w:t>投标保证金函单独密封装订</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.3对于未能按规定提交投标保证金的投标，将被视为不响应招标文件而予以拒绝。</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.4未中标的投标人的投标保证金，以电汇形式的将在一星期内退还；以未结货款转抵形式的将转回未结货款并按正常渠道结算。</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.5中标的投标人的投标保证金，将在中标人签订合同时转为履约保证金，合同按时履行完毕后予以原额退还，以未结货款转抵形式的将转回未结货款并按正常渠道结算。</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.6如投标人有下列情况发生时，其</w:t>
      </w:r>
      <w:r>
        <w:rPr>
          <w:rFonts w:ascii="Times New Roman" w:hAnsi="Times New Roman" w:eastAsia="宋体"/>
          <w:b/>
          <w:bCs/>
          <w:color w:val="auto"/>
          <w:sz w:val="24"/>
          <w:szCs w:val="24"/>
        </w:rPr>
        <w:t>投标保证金将被不予退还</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.6.1投标人在投标有效期内撤回投标的；</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.6.2成为中标人后</w:t>
      </w:r>
      <w:r>
        <w:rPr>
          <w:rFonts w:hint="eastAsia" w:ascii="Times New Roman" w:hAnsi="Times New Roman" w:eastAsia="宋体"/>
          <w:color w:val="auto"/>
          <w:sz w:val="24"/>
          <w:szCs w:val="24"/>
        </w:rPr>
        <w:t>5日</w:t>
      </w:r>
      <w:r>
        <w:rPr>
          <w:rFonts w:ascii="Times New Roman" w:hAnsi="Times New Roman" w:eastAsia="宋体"/>
          <w:color w:val="auto"/>
          <w:sz w:val="24"/>
          <w:szCs w:val="24"/>
        </w:rPr>
        <w:t>内，因中标方原因无法签订合同的；</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.6.3中标方在签订合同过程中，临时增加对我司不利的条款或减免中标方在投标文件或投标过程中承诺的条款</w:t>
      </w:r>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.6.4其他违反法律规定的。</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.投标文件要求</w:t>
      </w:r>
      <w:r>
        <w:rPr>
          <w:rFonts w:hint="eastAsia" w:ascii="Times New Roman" w:hAnsi="Times New Roman" w:eastAsia="宋体"/>
          <w:color w:val="auto"/>
          <w:sz w:val="24"/>
          <w:szCs w:val="24"/>
        </w:rPr>
        <w:t>：（内容均须加盖公章）</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.1</w:t>
      </w:r>
      <w:r>
        <w:rPr>
          <w:rFonts w:hint="eastAsia" w:ascii="Times New Roman" w:hAnsi="Times New Roman" w:eastAsia="宋体"/>
          <w:color w:val="auto"/>
          <w:sz w:val="24"/>
          <w:szCs w:val="24"/>
        </w:rPr>
        <w:t>投标</w:t>
      </w:r>
      <w:r>
        <w:rPr>
          <w:rFonts w:ascii="Times New Roman" w:hAnsi="Times New Roman" w:eastAsia="宋体"/>
          <w:color w:val="auto"/>
          <w:sz w:val="24"/>
          <w:szCs w:val="24"/>
        </w:rPr>
        <w:t>文件分成</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部分，每部分应分开密封装订：第一部分为</w:t>
      </w:r>
      <w:r>
        <w:rPr>
          <w:rFonts w:hint="eastAsia" w:ascii="Times New Roman" w:hAnsi="Times New Roman" w:eastAsia="宋体"/>
          <w:color w:val="auto"/>
          <w:sz w:val="24"/>
          <w:szCs w:val="24"/>
          <w:lang w:eastAsia="zh-CN"/>
        </w:rPr>
        <w:t>投标保证金凭证，第二部分为</w:t>
      </w:r>
      <w:r>
        <w:rPr>
          <w:rFonts w:ascii="Times New Roman" w:hAnsi="Times New Roman" w:eastAsia="宋体"/>
          <w:color w:val="auto"/>
          <w:sz w:val="24"/>
          <w:szCs w:val="24"/>
        </w:rPr>
        <w:t>资格文件，第</w:t>
      </w:r>
      <w:r>
        <w:rPr>
          <w:rFonts w:hint="eastAsia" w:ascii="Times New Roman" w:hAnsi="Times New Roman" w:eastAsia="宋体"/>
          <w:color w:val="auto"/>
          <w:sz w:val="24"/>
          <w:szCs w:val="24"/>
          <w:lang w:eastAsia="zh-CN"/>
        </w:rPr>
        <w:t>三</w:t>
      </w:r>
      <w:r>
        <w:rPr>
          <w:rFonts w:ascii="Times New Roman" w:hAnsi="Times New Roman" w:eastAsia="宋体"/>
          <w:color w:val="auto"/>
          <w:sz w:val="24"/>
          <w:szCs w:val="24"/>
        </w:rPr>
        <w:t>部分</w:t>
      </w:r>
      <w:r>
        <w:rPr>
          <w:rFonts w:hint="eastAsia" w:ascii="Times New Roman" w:hAnsi="Times New Roman" w:eastAsia="宋体"/>
          <w:color w:val="auto"/>
          <w:sz w:val="24"/>
          <w:szCs w:val="24"/>
        </w:rPr>
        <w:t>为</w:t>
      </w:r>
      <w:r>
        <w:rPr>
          <w:rFonts w:ascii="Times New Roman" w:hAnsi="Times New Roman" w:eastAsia="宋体"/>
          <w:color w:val="auto"/>
          <w:sz w:val="24"/>
          <w:szCs w:val="24"/>
        </w:rPr>
        <w:t>技术文件，第</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部分为商务文件。</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13.1.1投标保证金凭证：银行电汇回单或投标保证金函。</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2资格文件编制一式一份，主要内容为详细的</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资料，包括</w:t>
      </w:r>
      <w:r>
        <w:rPr>
          <w:rFonts w:hint="eastAsia" w:ascii="Times New Roman" w:hAnsi="Times New Roman" w:eastAsia="宋体"/>
          <w:color w:val="auto"/>
          <w:sz w:val="24"/>
          <w:szCs w:val="24"/>
        </w:rPr>
        <w:t>：</w:t>
      </w:r>
      <w:r>
        <w:rPr>
          <w:rFonts w:ascii="Times New Roman" w:hAnsi="Times New Roman" w:eastAsia="宋体"/>
          <w:color w:val="auto"/>
          <w:sz w:val="24"/>
          <w:szCs w:val="24"/>
        </w:rPr>
        <w:t>a.三证合一的《营业执照》；</w:t>
      </w:r>
      <w:r>
        <w:rPr>
          <w:rFonts w:hint="eastAsia" w:ascii="Times New Roman" w:hAnsi="Times New Roman" w:eastAsia="宋体"/>
          <w:color w:val="auto"/>
          <w:sz w:val="24"/>
          <w:szCs w:val="24"/>
        </w:rPr>
        <w:t>b.第</w:t>
      </w:r>
      <w:r>
        <w:rPr>
          <w:rFonts w:hint="eastAsia" w:ascii="Times New Roman" w:hAnsi="Times New Roman" w:eastAsia="宋体"/>
          <w:color w:val="auto"/>
          <w:sz w:val="24"/>
          <w:szCs w:val="24"/>
          <w:lang w:val="en-US" w:eastAsia="zh-CN"/>
        </w:rPr>
        <w:t>4</w:t>
      </w:r>
      <w:r>
        <w:rPr>
          <w:rFonts w:hint="eastAsia" w:ascii="Times New Roman" w:hAnsi="Times New Roman" w:eastAsia="宋体"/>
          <w:color w:val="auto"/>
          <w:sz w:val="24"/>
          <w:szCs w:val="24"/>
        </w:rPr>
        <w:t>条“</w:t>
      </w:r>
      <w:r>
        <w:rPr>
          <w:rFonts w:hint="eastAsia" w:ascii="Times New Roman" w:hAnsi="Times New Roman" w:eastAsia="宋体"/>
          <w:color w:val="auto"/>
          <w:sz w:val="24"/>
          <w:szCs w:val="24"/>
          <w:lang w:eastAsia="zh-CN"/>
        </w:rPr>
        <w:t>对</w:t>
      </w:r>
      <w:r>
        <w:rPr>
          <w:rFonts w:hint="eastAsia" w:ascii="Times New Roman" w:hAnsi="Times New Roman" w:eastAsia="宋体"/>
          <w:color w:val="auto"/>
          <w:sz w:val="24"/>
          <w:szCs w:val="24"/>
        </w:rPr>
        <w:t>投标人资格要求”的</w:t>
      </w:r>
      <w:r>
        <w:rPr>
          <w:rFonts w:hint="eastAsia" w:ascii="Times New Roman" w:hAnsi="Times New Roman" w:eastAsia="宋体"/>
          <w:color w:val="auto"/>
          <w:sz w:val="24"/>
          <w:szCs w:val="24"/>
          <w:lang w:eastAsia="zh-CN"/>
        </w:rPr>
        <w:t>其他</w:t>
      </w:r>
      <w:r>
        <w:rPr>
          <w:rFonts w:hint="eastAsia" w:ascii="Times New Roman" w:hAnsi="Times New Roman" w:eastAsia="宋体"/>
          <w:color w:val="auto"/>
          <w:sz w:val="24"/>
          <w:szCs w:val="24"/>
        </w:rPr>
        <w:t>证明</w:t>
      </w:r>
      <w:r>
        <w:rPr>
          <w:rFonts w:hint="eastAsia" w:ascii="Times New Roman" w:hAnsi="Times New Roman" w:eastAsia="宋体"/>
          <w:color w:val="auto"/>
          <w:sz w:val="24"/>
          <w:szCs w:val="24"/>
          <w:lang w:eastAsia="zh-CN"/>
        </w:rPr>
        <w:t>材</w:t>
      </w:r>
      <w:r>
        <w:rPr>
          <w:rFonts w:hint="eastAsia" w:ascii="Times New Roman" w:hAnsi="Times New Roman" w:eastAsia="宋体"/>
          <w:color w:val="auto"/>
          <w:sz w:val="24"/>
          <w:szCs w:val="24"/>
        </w:rPr>
        <w:t>料；</w:t>
      </w:r>
      <w:r>
        <w:rPr>
          <w:rFonts w:hint="eastAsia" w:ascii="Times New Roman" w:hAnsi="Times New Roman" w:eastAsia="宋体"/>
          <w:color w:val="auto"/>
          <w:sz w:val="24"/>
          <w:szCs w:val="24"/>
          <w:lang w:val="en-US" w:eastAsia="zh-CN"/>
        </w:rPr>
        <w:t>c</w:t>
      </w:r>
      <w:r>
        <w:rPr>
          <w:rFonts w:hint="eastAsia" w:ascii="Times New Roman" w:hAnsi="Times New Roman" w:eastAsia="宋体"/>
          <w:color w:val="auto"/>
          <w:sz w:val="24"/>
          <w:szCs w:val="24"/>
        </w:rPr>
        <w:t>.</w:t>
      </w:r>
      <w:r>
        <w:rPr>
          <w:rFonts w:ascii="Times New Roman" w:hAnsi="Times New Roman" w:eastAsia="宋体"/>
          <w:color w:val="auto"/>
          <w:sz w:val="24"/>
          <w:szCs w:val="24"/>
        </w:rPr>
        <w:t>非法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参与</w:t>
      </w:r>
      <w:r>
        <w:rPr>
          <w:rFonts w:hint="eastAsia" w:ascii="Times New Roman" w:hAnsi="Times New Roman" w:eastAsia="宋体"/>
          <w:color w:val="auto"/>
          <w:sz w:val="24"/>
          <w:szCs w:val="24"/>
        </w:rPr>
        <w:t>投标</w:t>
      </w:r>
      <w:r>
        <w:rPr>
          <w:rFonts w:ascii="Times New Roman" w:hAnsi="Times New Roman" w:eastAsia="宋体"/>
          <w:color w:val="auto"/>
          <w:sz w:val="24"/>
          <w:szCs w:val="24"/>
        </w:rPr>
        <w:t>的需提供法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授权书</w:t>
      </w:r>
      <w:r>
        <w:rPr>
          <w:rFonts w:hint="eastAsia" w:ascii="Times New Roman" w:hAnsi="Times New Roman" w:eastAsia="宋体"/>
          <w:color w:val="auto"/>
          <w:sz w:val="24"/>
          <w:szCs w:val="24"/>
        </w:rPr>
        <w:t>（授权书格式见附件</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rPr>
        <w:t>）</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d</w:t>
      </w:r>
      <w:r>
        <w:rPr>
          <w:rFonts w:ascii="Times New Roman" w:hAnsi="Times New Roman" w:eastAsia="宋体"/>
          <w:color w:val="auto"/>
          <w:sz w:val="24"/>
          <w:szCs w:val="24"/>
        </w:rPr>
        <w:t>.</w:t>
      </w:r>
      <w:r>
        <w:rPr>
          <w:rFonts w:hint="eastAsia" w:ascii="Times New Roman" w:hAnsi="Times New Roman" w:eastAsia="宋体"/>
          <w:color w:val="auto"/>
          <w:sz w:val="24"/>
          <w:szCs w:val="24"/>
          <w:lang w:eastAsia="zh-CN"/>
        </w:rPr>
        <w:t>投标人认为需要提供</w:t>
      </w:r>
      <w:r>
        <w:rPr>
          <w:rFonts w:ascii="Times New Roman" w:hAnsi="Times New Roman" w:eastAsia="宋体"/>
          <w:color w:val="auto"/>
          <w:sz w:val="24"/>
          <w:szCs w:val="24"/>
        </w:rPr>
        <w:t>的其他资料</w:t>
      </w:r>
      <w:r>
        <w:rPr>
          <w:rFonts w:hint="eastAsia" w:ascii="Times New Roman" w:hAnsi="Times New Roman" w:eastAsia="宋体"/>
          <w:color w:val="auto"/>
          <w:sz w:val="24"/>
          <w:szCs w:val="24"/>
          <w:lang w:eastAsia="zh-CN"/>
        </w:rPr>
        <w:t>（公司简介和信用证书等）</w:t>
      </w:r>
      <w:r>
        <w:rPr>
          <w:rFonts w:ascii="Times New Roman" w:hAnsi="Times New Roman" w:eastAsia="宋体"/>
          <w:color w:val="auto"/>
          <w:sz w:val="24"/>
          <w:szCs w:val="24"/>
        </w:rPr>
        <w:t>，等等。</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3技术文件编制一式二份，包括</w:t>
      </w:r>
      <w:r>
        <w:rPr>
          <w:rFonts w:hint="eastAsia" w:ascii="Times New Roman" w:hAnsi="Times New Roman" w:eastAsia="宋体"/>
          <w:color w:val="auto"/>
          <w:sz w:val="24"/>
          <w:szCs w:val="24"/>
        </w:rPr>
        <w:t>：a.</w:t>
      </w:r>
      <w:r>
        <w:rPr>
          <w:rFonts w:hint="eastAsia" w:ascii="Times New Roman" w:hAnsi="Times New Roman" w:eastAsia="宋体"/>
          <w:color w:val="auto"/>
          <w:sz w:val="24"/>
          <w:szCs w:val="24"/>
          <w:lang w:eastAsia="zh-CN"/>
        </w:rPr>
        <w:t>修理方案</w:t>
      </w:r>
      <w:r>
        <w:rPr>
          <w:rFonts w:hint="eastAsia" w:ascii="Times New Roman" w:hAnsi="Times New Roman" w:eastAsia="宋体"/>
          <w:color w:val="auto"/>
          <w:sz w:val="24"/>
          <w:szCs w:val="24"/>
          <w:lang w:val="en-US" w:eastAsia="zh-CN"/>
        </w:rPr>
        <w:t>；b.</w:t>
      </w:r>
      <w:r>
        <w:rPr>
          <w:rFonts w:hint="eastAsia" w:ascii="Times New Roman" w:hAnsi="Times New Roman" w:eastAsia="宋体"/>
          <w:color w:val="auto"/>
          <w:sz w:val="24"/>
          <w:szCs w:val="24"/>
          <w:lang w:eastAsia="zh-CN"/>
        </w:rPr>
        <w:t>第</w:t>
      </w:r>
      <w:r>
        <w:rPr>
          <w:rFonts w:hint="eastAsia" w:ascii="Times New Roman" w:hAnsi="Times New Roman" w:eastAsia="宋体"/>
          <w:color w:val="auto"/>
          <w:sz w:val="24"/>
          <w:szCs w:val="24"/>
          <w:lang w:val="en-US" w:eastAsia="zh-CN"/>
        </w:rPr>
        <w:t>10.3条</w:t>
      </w:r>
      <w:r>
        <w:rPr>
          <w:rFonts w:hint="eastAsia" w:ascii="Times New Roman" w:hAnsi="Times New Roman" w:eastAsia="宋体"/>
          <w:color w:val="auto"/>
          <w:sz w:val="24"/>
          <w:szCs w:val="24"/>
          <w:lang w:eastAsia="zh-CN"/>
        </w:rPr>
        <w:t>技术评审中第</w:t>
      </w:r>
      <w:r>
        <w:rPr>
          <w:rFonts w:hint="eastAsia" w:ascii="Times New Roman" w:hAnsi="Times New Roman" w:eastAsia="宋体"/>
          <w:color w:val="auto"/>
          <w:sz w:val="24"/>
          <w:szCs w:val="24"/>
          <w:lang w:val="en-US" w:eastAsia="zh-CN"/>
        </w:rPr>
        <w:t>①②③小点评分</w:t>
      </w:r>
      <w:r>
        <w:rPr>
          <w:rFonts w:hint="eastAsia" w:ascii="Times New Roman" w:hAnsi="Times New Roman" w:eastAsia="宋体"/>
          <w:color w:val="auto"/>
          <w:sz w:val="24"/>
          <w:szCs w:val="24"/>
          <w:lang w:eastAsia="zh-CN"/>
        </w:rPr>
        <w:t>项所对应的其他响应材料</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c</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eastAsia="zh-CN"/>
        </w:rPr>
        <w:t>工</w:t>
      </w:r>
      <w:r>
        <w:rPr>
          <w:rFonts w:hint="eastAsia" w:ascii="Times New Roman" w:hAnsi="Times New Roman" w:eastAsia="宋体"/>
          <w:color w:val="auto"/>
          <w:sz w:val="24"/>
          <w:szCs w:val="24"/>
        </w:rPr>
        <w:t>期、</w:t>
      </w:r>
      <w:r>
        <w:rPr>
          <w:rFonts w:ascii="Times New Roman" w:hAnsi="Times New Roman" w:eastAsia="宋体"/>
          <w:color w:val="auto"/>
          <w:sz w:val="24"/>
          <w:szCs w:val="24"/>
        </w:rPr>
        <w:t>质量承诺</w:t>
      </w:r>
      <w:r>
        <w:rPr>
          <w:rFonts w:hint="eastAsia" w:ascii="Times New Roman" w:hAnsi="Times New Roman" w:eastAsia="宋体"/>
          <w:color w:val="auto"/>
          <w:sz w:val="24"/>
          <w:szCs w:val="24"/>
        </w:rPr>
        <w:t>、质保承诺；</w:t>
      </w:r>
      <w:r>
        <w:rPr>
          <w:rFonts w:hint="eastAsia" w:ascii="Times New Roman" w:hAnsi="Times New Roman" w:eastAsia="宋体"/>
          <w:color w:val="auto"/>
          <w:sz w:val="24"/>
          <w:szCs w:val="24"/>
          <w:lang w:val="en-US" w:eastAsia="zh-CN"/>
        </w:rPr>
        <w:t>d</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eastAsia="zh-CN"/>
        </w:rPr>
        <w:t>类似</w:t>
      </w:r>
      <w:r>
        <w:rPr>
          <w:rFonts w:ascii="Times New Roman" w:hAnsi="Times New Roman" w:eastAsia="宋体"/>
          <w:color w:val="auto"/>
          <w:sz w:val="24"/>
          <w:szCs w:val="24"/>
        </w:rPr>
        <w:t>业绩合同复印件</w:t>
      </w:r>
      <w:r>
        <w:rPr>
          <w:rFonts w:hint="eastAsia" w:ascii="Times New Roman" w:hAnsi="Times New Roman" w:eastAsia="宋体"/>
          <w:color w:val="auto"/>
          <w:sz w:val="24"/>
          <w:szCs w:val="24"/>
          <w:lang w:eastAsia="zh-CN"/>
        </w:rPr>
        <w:t>（三年内螺旋修理的合同业绩）</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e</w:t>
      </w:r>
      <w:r>
        <w:rPr>
          <w:rFonts w:hint="eastAsia" w:ascii="Times New Roman" w:hAnsi="Times New Roman" w:eastAsia="宋体"/>
          <w:color w:val="auto"/>
          <w:sz w:val="24"/>
          <w:szCs w:val="24"/>
        </w:rPr>
        <w:t>.</w:t>
      </w:r>
      <w:r>
        <w:rPr>
          <w:rFonts w:ascii="Times New Roman" w:hAnsi="Times New Roman" w:eastAsia="宋体"/>
          <w:color w:val="auto"/>
          <w:sz w:val="24"/>
          <w:szCs w:val="24"/>
        </w:rPr>
        <w:t>技术偏离表</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f</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文件要求提供的其它技术方面的文件，等等。</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4商务文件编制一式一份，包括</w:t>
      </w:r>
      <w:r>
        <w:rPr>
          <w:rFonts w:hint="eastAsia" w:ascii="Times New Roman" w:hAnsi="Times New Roman" w:eastAsia="宋体"/>
          <w:color w:val="auto"/>
          <w:sz w:val="24"/>
          <w:szCs w:val="24"/>
        </w:rPr>
        <w:t>：a.投标</w:t>
      </w:r>
      <w:r>
        <w:rPr>
          <w:rFonts w:ascii="Times New Roman" w:hAnsi="Times New Roman" w:eastAsia="宋体"/>
          <w:color w:val="auto"/>
          <w:sz w:val="24"/>
          <w:szCs w:val="24"/>
        </w:rPr>
        <w:t>报价表</w:t>
      </w:r>
      <w:r>
        <w:rPr>
          <w:rFonts w:hint="eastAsia" w:ascii="Times New Roman" w:hAnsi="Times New Roman" w:eastAsia="宋体"/>
          <w:color w:val="auto"/>
          <w:sz w:val="24"/>
          <w:szCs w:val="24"/>
        </w:rPr>
        <w:t>（必须由法定代表人或被授权人签字或盖章）；b.</w:t>
      </w:r>
      <w:r>
        <w:rPr>
          <w:rFonts w:ascii="Times New Roman" w:hAnsi="Times New Roman" w:eastAsia="宋体"/>
          <w:color w:val="auto"/>
          <w:sz w:val="24"/>
          <w:szCs w:val="24"/>
        </w:rPr>
        <w:t>商务偏离表（如付款方式等，未说明即默认响应本</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文件要求），等等。</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除</w:t>
      </w:r>
      <w:r>
        <w:rPr>
          <w:rFonts w:hint="eastAsia" w:ascii="Times New Roman" w:hAnsi="Times New Roman" w:eastAsia="宋体"/>
          <w:color w:val="auto"/>
          <w:sz w:val="24"/>
          <w:szCs w:val="24"/>
          <w:lang w:eastAsia="zh-CN"/>
        </w:rPr>
        <w:t>商务文件</w:t>
      </w:r>
      <w:r>
        <w:rPr>
          <w:rFonts w:ascii="Times New Roman" w:hAnsi="Times New Roman" w:eastAsia="宋体"/>
          <w:color w:val="auto"/>
          <w:sz w:val="24"/>
          <w:szCs w:val="24"/>
        </w:rPr>
        <w:t>外，其他任何地方不得出现相关</w:t>
      </w:r>
      <w:r>
        <w:rPr>
          <w:rFonts w:hint="eastAsia" w:ascii="Times New Roman" w:hAnsi="Times New Roman" w:eastAsia="宋体"/>
          <w:color w:val="auto"/>
          <w:sz w:val="24"/>
          <w:szCs w:val="24"/>
        </w:rPr>
        <w:t>投标报</w:t>
      </w:r>
      <w:r>
        <w:rPr>
          <w:rFonts w:ascii="Times New Roman" w:hAnsi="Times New Roman" w:eastAsia="宋体"/>
          <w:color w:val="auto"/>
          <w:sz w:val="24"/>
          <w:szCs w:val="24"/>
        </w:rPr>
        <w:t>价的任何内容。</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.评标小组</w:t>
      </w:r>
      <w:r>
        <w:rPr>
          <w:rFonts w:hint="eastAsia" w:ascii="Times New Roman" w:hAnsi="Times New Roman" w:eastAsia="宋体"/>
          <w:color w:val="auto"/>
          <w:sz w:val="24"/>
          <w:szCs w:val="24"/>
        </w:rPr>
        <w:t>：评标小组由福建省青山纸业股份有限公司有关部门人员组成。</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rPr>
          <w:rFonts w:ascii="Times New Roman" w:hAnsi="Times New Roman" w:eastAsia="宋体" w:cs="Times New Roman"/>
          <w:color w:val="auto"/>
          <w:sz w:val="24"/>
          <w:szCs w:val="24"/>
          <w:shd w:val="clear" w:color="auto" w:fill="FFFFFF"/>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5</w:t>
      </w:r>
      <w:r>
        <w:rPr>
          <w:rFonts w:hint="eastAsia" w:ascii="Times New Roman" w:hAnsi="Times New Roman" w:eastAsia="宋体"/>
          <w:b/>
          <w:color w:val="auto"/>
          <w:sz w:val="24"/>
          <w:szCs w:val="24"/>
        </w:rPr>
        <w:t>.发布招标公告</w:t>
      </w:r>
      <w:r>
        <w:rPr>
          <w:rFonts w:hint="eastAsia" w:ascii="Times New Roman" w:hAnsi="Times New Roman" w:eastAsia="宋体"/>
          <w:b/>
          <w:color w:val="auto"/>
          <w:sz w:val="24"/>
          <w:szCs w:val="24"/>
          <w:lang w:eastAsia="zh-CN"/>
        </w:rPr>
        <w:t>及结果公示</w:t>
      </w:r>
      <w:r>
        <w:rPr>
          <w:rFonts w:hint="eastAsia" w:ascii="Times New Roman" w:hAnsi="Times New Roman" w:eastAsia="宋体"/>
          <w:b/>
          <w:color w:val="auto"/>
          <w:sz w:val="24"/>
          <w:szCs w:val="24"/>
        </w:rPr>
        <w:t>媒体</w:t>
      </w:r>
      <w:r>
        <w:rPr>
          <w:rFonts w:hint="eastAsia" w:ascii="Times New Roman" w:hAnsi="Times New Roman" w:eastAsia="宋体"/>
          <w:color w:val="auto"/>
          <w:sz w:val="24"/>
          <w:szCs w:val="24"/>
        </w:rPr>
        <w:t>：</w:t>
      </w:r>
      <w:r>
        <w:rPr>
          <w:rFonts w:ascii="Times New Roman" w:hAnsi="Times New Roman" w:eastAsia="宋体" w:cs="Times New Roman"/>
          <w:color w:val="auto"/>
          <w:sz w:val="24"/>
          <w:szCs w:val="24"/>
          <w:shd w:val="clear" w:color="auto" w:fill="FFFFFF"/>
        </w:rPr>
        <w:t>福建省青山纸业股份有限公司</w:t>
      </w:r>
      <w:r>
        <w:rPr>
          <w:rFonts w:ascii="Times New Roman" w:hAnsi="Times New Roman"/>
          <w:color w:val="0000FF"/>
        </w:rPr>
        <w:fldChar w:fldCharType="begin"/>
      </w:r>
      <w:r>
        <w:rPr>
          <w:rFonts w:ascii="Times New Roman" w:hAnsi="Times New Roman"/>
          <w:color w:val="0000FF"/>
        </w:rPr>
        <w:instrText xml:space="preserve"> HYPERLINK "http://www.qingshanpaper.com/" </w:instrText>
      </w:r>
      <w:r>
        <w:rPr>
          <w:rFonts w:ascii="Times New Roman" w:hAnsi="Times New Roman"/>
          <w:color w:val="0000FF"/>
        </w:rPr>
        <w:fldChar w:fldCharType="separate"/>
      </w:r>
      <w:r>
        <w:rPr>
          <w:rStyle w:val="10"/>
          <w:rFonts w:ascii="Times New Roman" w:hAnsi="Times New Roman" w:eastAsia="宋体" w:cs="Times New Roman"/>
          <w:color w:val="0000FF"/>
          <w:sz w:val="24"/>
          <w:szCs w:val="24"/>
          <w:shd w:val="clear" w:color="auto" w:fill="FFFFFF"/>
        </w:rPr>
        <w:t>www.qingshanpaper.com</w:t>
      </w:r>
      <w:r>
        <w:rPr>
          <w:rStyle w:val="10"/>
          <w:rFonts w:ascii="Times New Roman" w:hAnsi="Times New Roman" w:eastAsia="宋体" w:cs="Times New Roman"/>
          <w:color w:val="0000FF"/>
          <w:sz w:val="24"/>
          <w:szCs w:val="24"/>
          <w:shd w:val="clear" w:color="auto" w:fill="FFFFFF"/>
        </w:rPr>
        <w:fldChar w:fldCharType="end"/>
      </w:r>
      <w:r>
        <w:rPr>
          <w:rStyle w:val="10"/>
          <w:rFonts w:hint="eastAsia" w:ascii="Times New Roman" w:hAnsi="Times New Roman" w:eastAsia="宋体" w:cs="Times New Roman"/>
          <w:color w:val="auto"/>
          <w:sz w:val="24"/>
          <w:szCs w:val="24"/>
          <w:u w:val="none"/>
          <w:shd w:val="clear" w:color="auto" w:fill="FFFFFF"/>
          <w:lang w:eastAsia="zh-CN"/>
        </w:rPr>
        <w:t>、福建省轻纺(控股)有限责任公司</w:t>
      </w:r>
      <w:r>
        <w:rPr>
          <w:rStyle w:val="10"/>
          <w:rFonts w:hint="eastAsia" w:ascii="Times New Roman" w:hAnsi="Times New Roman" w:eastAsia="宋体" w:cs="Times New Roman"/>
          <w:color w:val="auto"/>
          <w:sz w:val="24"/>
          <w:szCs w:val="24"/>
          <w:u w:val="none"/>
          <w:shd w:val="clear" w:color="auto" w:fill="FFFFFF"/>
          <w:lang w:eastAsia="zh-CN"/>
        </w:rPr>
        <w:fldChar w:fldCharType="begin"/>
      </w:r>
      <w:r>
        <w:rPr>
          <w:rStyle w:val="10"/>
          <w:rFonts w:hint="eastAsia" w:ascii="Times New Roman" w:hAnsi="Times New Roman" w:eastAsia="宋体" w:cs="Times New Roman"/>
          <w:color w:val="auto"/>
          <w:sz w:val="24"/>
          <w:szCs w:val="24"/>
          <w:u w:val="none"/>
          <w:shd w:val="clear" w:color="auto" w:fill="FFFFFF"/>
          <w:lang w:eastAsia="zh-CN"/>
        </w:rPr>
        <w:instrText xml:space="preserve"> HYPERLINK "http://www.fjqfkg.com" </w:instrText>
      </w:r>
      <w:r>
        <w:rPr>
          <w:rStyle w:val="10"/>
          <w:rFonts w:hint="eastAsia" w:ascii="Times New Roman" w:hAnsi="Times New Roman" w:eastAsia="宋体" w:cs="Times New Roman"/>
          <w:color w:val="auto"/>
          <w:sz w:val="24"/>
          <w:szCs w:val="24"/>
          <w:u w:val="none"/>
          <w:shd w:val="clear" w:color="auto" w:fill="FFFFFF"/>
          <w:lang w:eastAsia="zh-CN"/>
        </w:rPr>
        <w:fldChar w:fldCharType="separate"/>
      </w:r>
      <w:r>
        <w:rPr>
          <w:rStyle w:val="10"/>
          <w:rFonts w:hint="eastAsia" w:ascii="Times New Roman" w:hAnsi="Times New Roman" w:eastAsia="宋体" w:cs="Times New Roman"/>
          <w:sz w:val="24"/>
          <w:szCs w:val="24"/>
          <w:shd w:val="clear" w:color="auto" w:fill="FFFFFF"/>
          <w:lang w:eastAsia="zh-CN"/>
        </w:rPr>
        <w:t>www.fjqfkg.com</w:t>
      </w:r>
      <w:r>
        <w:rPr>
          <w:rStyle w:val="10"/>
          <w:rFonts w:hint="eastAsia" w:ascii="Times New Roman" w:hAnsi="Times New Roman" w:eastAsia="宋体" w:cs="Times New Roman"/>
          <w:color w:val="auto"/>
          <w:sz w:val="24"/>
          <w:szCs w:val="24"/>
          <w:u w:val="none"/>
          <w:shd w:val="clear" w:color="auto" w:fill="FFFFFF"/>
          <w:lang w:eastAsia="zh-CN"/>
        </w:rPr>
        <w:fldChar w:fldCharType="end"/>
      </w:r>
      <w:r>
        <w:rPr>
          <w:rStyle w:val="10"/>
          <w:rFonts w:hint="eastAsia" w:ascii="Times New Roman" w:hAnsi="Times New Roman" w:eastAsia="宋体" w:cs="Times New Roman"/>
          <w:color w:val="auto"/>
          <w:sz w:val="24"/>
          <w:szCs w:val="24"/>
          <w:u w:val="none"/>
          <w:shd w:val="clear" w:color="auto" w:fill="FFFFFF"/>
          <w:lang w:eastAsia="zh-CN"/>
        </w:rPr>
        <w:t>、</w:t>
      </w:r>
      <w:r>
        <w:rPr>
          <w:rFonts w:hint="eastAsia" w:ascii="Times New Roman" w:hAnsi="Times New Roman" w:eastAsia="宋体"/>
          <w:b w:val="0"/>
          <w:bCs w:val="0"/>
          <w:color w:val="auto"/>
          <w:sz w:val="24"/>
          <w:szCs w:val="24"/>
          <w:u w:val="none"/>
          <w:lang w:eastAsia="zh-CN"/>
        </w:rPr>
        <w:t>1688采购门户</w:t>
      </w:r>
      <w:r>
        <w:rPr>
          <w:rFonts w:hint="eastAsia" w:ascii="Times New Roman" w:hAnsi="Times New Roman" w:eastAsia="宋体"/>
          <w:b w:val="0"/>
          <w:bCs w:val="0"/>
          <w:color w:val="auto"/>
          <w:sz w:val="24"/>
          <w:szCs w:val="24"/>
          <w:u w:val="none"/>
          <w:lang w:eastAsia="zh-CN"/>
        </w:rPr>
        <w:fldChar w:fldCharType="begin"/>
      </w:r>
      <w:r>
        <w:rPr>
          <w:rFonts w:hint="eastAsia" w:ascii="Times New Roman" w:hAnsi="Times New Roman" w:eastAsia="宋体"/>
          <w:b w:val="0"/>
          <w:bCs w:val="0"/>
          <w:color w:val="auto"/>
          <w:sz w:val="24"/>
          <w:szCs w:val="24"/>
          <w:u w:val="none"/>
          <w:lang w:eastAsia="zh-CN"/>
        </w:rPr>
        <w:instrText xml:space="preserve"> HYPERLINK "https://fjqszy.go.1688.com" </w:instrText>
      </w:r>
      <w:r>
        <w:rPr>
          <w:rFonts w:hint="eastAsia" w:ascii="Times New Roman" w:hAnsi="Times New Roman" w:eastAsia="宋体"/>
          <w:b w:val="0"/>
          <w:bCs w:val="0"/>
          <w:color w:val="auto"/>
          <w:sz w:val="24"/>
          <w:szCs w:val="24"/>
          <w:u w:val="none"/>
          <w:lang w:eastAsia="zh-CN"/>
        </w:rPr>
        <w:fldChar w:fldCharType="separate"/>
      </w:r>
      <w:r>
        <w:rPr>
          <w:rStyle w:val="10"/>
          <w:rFonts w:hint="eastAsia" w:ascii="Times New Roman" w:hAnsi="Times New Roman" w:eastAsia="宋体"/>
          <w:b w:val="0"/>
          <w:bCs w:val="0"/>
          <w:sz w:val="24"/>
          <w:szCs w:val="24"/>
          <w:lang w:eastAsia="zh-CN"/>
        </w:rPr>
        <w:t>https:</w:t>
      </w:r>
      <w:r>
        <w:rPr>
          <w:rStyle w:val="10"/>
          <w:rFonts w:hint="eastAsia" w:ascii="Times New Roman" w:hAnsi="Times New Roman" w:eastAsia="宋体"/>
          <w:b w:val="0"/>
          <w:bCs w:val="0"/>
          <w:sz w:val="24"/>
          <w:szCs w:val="24"/>
          <w:lang w:val="en-US" w:eastAsia="zh-CN"/>
        </w:rPr>
        <w:t>//</w:t>
      </w:r>
      <w:r>
        <w:rPr>
          <w:rStyle w:val="10"/>
          <w:rFonts w:hint="eastAsia" w:ascii="Times New Roman" w:hAnsi="Times New Roman" w:eastAsia="宋体"/>
          <w:b w:val="0"/>
          <w:bCs w:val="0"/>
          <w:sz w:val="24"/>
          <w:szCs w:val="24"/>
          <w:lang w:eastAsia="zh-CN"/>
        </w:rPr>
        <w:t>fjqszy.go.1688.com</w:t>
      </w:r>
      <w:r>
        <w:rPr>
          <w:rFonts w:hint="eastAsia" w:ascii="Times New Roman" w:hAnsi="Times New Roman" w:eastAsia="宋体"/>
          <w:b w:val="0"/>
          <w:bCs w:val="0"/>
          <w:color w:val="auto"/>
          <w:sz w:val="24"/>
          <w:szCs w:val="24"/>
          <w:u w:val="none"/>
          <w:lang w:eastAsia="zh-CN"/>
        </w:rPr>
        <w:fldChar w:fldCharType="end"/>
      </w:r>
      <w:r>
        <w:rPr>
          <w:rFonts w:hint="eastAsia" w:ascii="Times New Roman" w:hAnsi="Times New Roman" w:cs="Times New Roman"/>
          <w:sz w:val="24"/>
          <w:szCs w:val="24"/>
          <w:shd w:val="clear" w:color="auto" w:fill="FFFFFF"/>
          <w:lang w:val="en-US" w:eastAsia="zh-CN"/>
        </w:rPr>
        <w:t>、</w:t>
      </w:r>
      <w:r>
        <w:rPr>
          <w:rFonts w:hint="eastAsia" w:ascii="Times New Roman" w:hAnsi="Times New Roman" w:eastAsia="宋体" w:cs="Times New Roman"/>
          <w:sz w:val="24"/>
          <w:szCs w:val="24"/>
          <w:shd w:val="clear" w:color="auto" w:fill="FFFFFF"/>
        </w:rPr>
        <w:t>福建省国资采购平台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"http://ygcg.fjcqjy.com"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ht</w:t>
      </w:r>
      <w:r>
        <w:rPr>
          <w:rStyle w:val="10"/>
          <w:rFonts w:hint="eastAsia" w:ascii="Times New Roman" w:hAnsi="Times New Roman" w:cs="Times New Roman"/>
          <w:sz w:val="24"/>
          <w:szCs w:val="24"/>
          <w:shd w:val="clear" w:color="auto" w:fill="FFFFFF"/>
          <w:lang w:val="en-US" w:eastAsia="zh-CN"/>
        </w:rPr>
        <w:t>tp://y</w:t>
      </w:r>
      <w:r>
        <w:rPr>
          <w:rStyle w:val="10"/>
          <w:rFonts w:hint="eastAsia" w:ascii="Times New Roman" w:hAnsi="Times New Roman" w:eastAsia="宋体" w:cs="Times New Roman"/>
          <w:sz w:val="24"/>
          <w:szCs w:val="24"/>
          <w:shd w:val="clear" w:color="auto" w:fill="FFFFFF"/>
        </w:rPr>
        <w:t>gcg</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f</w:t>
      </w:r>
      <w:r>
        <w:rPr>
          <w:rStyle w:val="10"/>
          <w:rFonts w:hint="eastAsia" w:ascii="Times New Roman" w:hAnsi="Times New Roman" w:cs="Times New Roman"/>
          <w:sz w:val="24"/>
          <w:szCs w:val="24"/>
          <w:shd w:val="clear" w:color="auto" w:fill="FFFFFF"/>
          <w:lang w:val="en-US" w:eastAsia="zh-CN"/>
        </w:rPr>
        <w:t>j</w:t>
      </w:r>
      <w:r>
        <w:rPr>
          <w:rStyle w:val="10"/>
          <w:rFonts w:hint="eastAsia" w:ascii="Times New Roman" w:hAnsi="Times New Roman" w:eastAsia="宋体" w:cs="Times New Roman"/>
          <w:sz w:val="24"/>
          <w:szCs w:val="24"/>
          <w:shd w:val="clear" w:color="auto" w:fill="FFFFFF"/>
        </w:rPr>
        <w:t>c</w:t>
      </w:r>
      <w:r>
        <w:rPr>
          <w:rStyle w:val="10"/>
          <w:rFonts w:hint="eastAsia" w:ascii="Times New Roman" w:hAnsi="Times New Roman" w:cs="Times New Roman"/>
          <w:sz w:val="24"/>
          <w:szCs w:val="24"/>
          <w:shd w:val="clear" w:color="auto" w:fill="FFFFFF"/>
          <w:lang w:val="en-US" w:eastAsia="zh-CN"/>
        </w:rPr>
        <w:t>qj</w:t>
      </w:r>
      <w:r>
        <w:rPr>
          <w:rStyle w:val="10"/>
          <w:rFonts w:hint="eastAsia" w:ascii="Times New Roman" w:hAnsi="Times New Roman" w:eastAsia="宋体" w:cs="Times New Roman"/>
          <w:sz w:val="24"/>
          <w:szCs w:val="24"/>
          <w:shd w:val="clear" w:color="auto" w:fill="FFFFFF"/>
        </w:rPr>
        <w:t>y</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com</w:t>
      </w:r>
      <w:r>
        <w:rPr>
          <w:rFonts w:hint="eastAsia" w:ascii="Times New Roman" w:hAnsi="Times New Roman" w:eastAsia="宋体" w:cs="Times New Roman"/>
          <w:sz w:val="24"/>
          <w:szCs w:val="24"/>
          <w:shd w:val="clear" w:color="auto" w:fill="FFFFFF"/>
        </w:rPr>
        <w:fldChar w:fldCharType="end"/>
      </w:r>
      <w:r>
        <w:rPr>
          <w:rFonts w:hint="eastAsia" w:ascii="Times New Roman" w:hAnsi="Times New Roman" w:eastAsia="宋体" w:cs="Times New Roman"/>
          <w:sz w:val="24"/>
          <w:szCs w:val="24"/>
          <w:shd w:val="clear" w:color="auto" w:fill="FFFFFF"/>
        </w:rPr>
        <w:t>、中国招投标公共服务平台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"http://www.cebpubservice.com"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www.cebpubservice.com</w:t>
      </w:r>
      <w:r>
        <w:rPr>
          <w:rFonts w:hint="eastAsia" w:ascii="Times New Roman" w:hAnsi="Times New Roman" w:eastAsia="宋体" w:cs="Times New Roman"/>
          <w:sz w:val="24"/>
          <w:szCs w:val="24"/>
          <w:shd w:val="clear" w:color="auto" w:fill="FFFFFF"/>
        </w:rPr>
        <w:fldChar w:fldCharType="end"/>
      </w:r>
      <w:r>
        <w:rPr>
          <w:rFonts w:ascii="Times New Roman" w:hAnsi="Times New Roman" w:eastAsia="宋体" w:cs="Times New Roman"/>
          <w:color w:val="auto"/>
          <w:sz w:val="24"/>
          <w:szCs w:val="24"/>
          <w:shd w:val="clear" w:color="auto" w:fill="FFFFFF"/>
        </w:rPr>
        <w:t>。</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rPr>
          <w:rFonts w:hint="eastAsia" w:ascii="Times New Roman" w:hAnsi="Times New Roman" w:eastAsia="宋体"/>
          <w:b/>
          <w:bCs/>
          <w:color w:val="auto"/>
          <w:sz w:val="24"/>
          <w:szCs w:val="24"/>
        </w:rPr>
      </w:pPr>
      <w:r>
        <w:rPr>
          <w:rFonts w:hint="eastAsia" w:ascii="Times New Roman" w:hAnsi="Times New Roman" w:eastAsia="宋体"/>
          <w:b/>
          <w:bCs/>
          <w:color w:val="auto"/>
          <w:sz w:val="24"/>
          <w:szCs w:val="24"/>
          <w:lang w:val="en-US" w:eastAsia="zh-CN"/>
        </w:rPr>
        <w:t>16.</w:t>
      </w:r>
      <w:r>
        <w:rPr>
          <w:rFonts w:hint="eastAsia" w:ascii="Times New Roman" w:hAnsi="Times New Roman" w:eastAsia="宋体"/>
          <w:b/>
          <w:bCs/>
          <w:color w:val="auto"/>
          <w:sz w:val="24"/>
          <w:szCs w:val="24"/>
        </w:rPr>
        <w:t>联系方式</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招标办公室</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刘玲0598-5658595</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技术联系人：黄志中13559098500</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eastAsia="zh-CN"/>
        </w:rPr>
        <w:t>商务联系人</w:t>
      </w:r>
      <w:r>
        <w:rPr>
          <w:rFonts w:hint="eastAsia" w:ascii="Times New Roman" w:hAnsi="Times New Roman" w:eastAsia="宋体"/>
          <w:color w:val="auto"/>
          <w:sz w:val="24"/>
          <w:szCs w:val="24"/>
        </w:rPr>
        <w:t>：陈初发0598-5658513</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rPr>
      </w:pP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1：1#木片仓2316螺旋出料器螺旋断裂图（注：有意向参与投标的单位可联系招标办获取）</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rPr>
        <w:t>附件</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rPr>
        <w:t>：法定代表人授权书（格式）</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20" w:lineRule="exact"/>
        <w:ind w:firstLine="0" w:firstLineChars="0"/>
        <w:jc w:val="right"/>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rPr>
        <w:t>福建省青山纸业股份有限公司</w:t>
      </w:r>
    </w:p>
    <w:p>
      <w:pPr>
        <w:keepNext w:val="0"/>
        <w:keepLines w:val="0"/>
        <w:pageBreakBefore w:val="0"/>
        <w:widowControl w:val="0"/>
        <w:kinsoku/>
        <w:wordWrap w:val="0"/>
        <w:overflowPunct/>
        <w:topLinePunct w:val="0"/>
        <w:autoSpaceDE/>
        <w:autoSpaceDN/>
        <w:bidi w:val="0"/>
        <w:adjustRightInd/>
        <w:snapToGrid/>
        <w:spacing w:line="420" w:lineRule="exact"/>
        <w:ind w:firstLine="0" w:firstLineChars="0"/>
        <w:jc w:val="right"/>
        <w:textAlignment w:val="auto"/>
        <w:outlineLvl w:val="9"/>
        <w:rPr>
          <w:rFonts w:hint="eastAsia" w:ascii="Times New Roman" w:hAnsi="Times New Roman" w:eastAsia="宋体"/>
          <w:color w:val="auto"/>
          <w:sz w:val="24"/>
          <w:szCs w:val="24"/>
          <w:lang w:eastAsia="zh-CN"/>
        </w:rPr>
      </w:pPr>
      <w:r>
        <w:rPr>
          <w:rFonts w:ascii="Times New Roman" w:hAnsi="Times New Roman" w:eastAsia="宋体"/>
          <w:color w:val="auto"/>
          <w:sz w:val="24"/>
          <w:szCs w:val="24"/>
        </w:rPr>
        <w:t>招标办公室</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keepNext w:val="0"/>
        <w:keepLines w:val="0"/>
        <w:pageBreakBefore w:val="0"/>
        <w:widowControl w:val="0"/>
        <w:kinsoku/>
        <w:wordWrap w:val="0"/>
        <w:overflowPunct/>
        <w:topLinePunct w:val="0"/>
        <w:autoSpaceDE/>
        <w:autoSpaceDN/>
        <w:bidi w:val="0"/>
        <w:adjustRightInd/>
        <w:snapToGrid/>
        <w:spacing w:line="420" w:lineRule="exact"/>
        <w:ind w:firstLine="0" w:firstLineChars="0"/>
        <w:jc w:val="right"/>
        <w:textAlignment w:val="auto"/>
        <w:outlineLvl w:val="9"/>
        <w:rPr>
          <w:rFonts w:ascii="Times New Roman" w:hAnsi="Times New Roman" w:eastAsia="宋体"/>
          <w:bCs/>
          <w:color w:val="auto"/>
          <w:sz w:val="24"/>
          <w:szCs w:val="24"/>
        </w:rPr>
      </w:pPr>
      <w:r>
        <w:rPr>
          <w:rFonts w:ascii="Times New Roman" w:hAnsi="Times New Roman" w:eastAsia="宋体"/>
          <w:color w:val="auto"/>
          <w:sz w:val="24"/>
          <w:szCs w:val="24"/>
        </w:rPr>
        <w:t>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color w:val="auto"/>
          <w:sz w:val="24"/>
          <w:szCs w:val="24"/>
          <w:lang w:val="en-US" w:eastAsia="zh-CN"/>
        </w:rPr>
        <w:t>3</w:t>
      </w:r>
      <w:r>
        <w:rPr>
          <w:rFonts w:ascii="Times New Roman" w:hAnsi="Times New Roman" w:eastAsia="宋体"/>
          <w:color w:val="auto"/>
          <w:sz w:val="24"/>
          <w:szCs w:val="24"/>
        </w:rPr>
        <w:t>月</w:t>
      </w:r>
      <w:r>
        <w:rPr>
          <w:rFonts w:hint="eastAsia" w:ascii="Times New Roman" w:hAnsi="Times New Roman"/>
          <w:color w:val="auto"/>
          <w:sz w:val="24"/>
          <w:szCs w:val="24"/>
          <w:lang w:val="en-US" w:eastAsia="zh-CN"/>
        </w:rPr>
        <w:t>7</w:t>
      </w:r>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bookmarkStart w:id="0" w:name="_GoBack"/>
      <w:bookmarkEnd w:id="0"/>
      <w:r>
        <w:rPr>
          <w:rFonts w:hint="eastAsia" w:ascii="Times New Roman" w:hAnsi="Times New Roman" w:eastAsia="宋体"/>
          <w:color w:val="auto"/>
          <w:sz w:val="24"/>
          <w:szCs w:val="24"/>
          <w:lang w:eastAsia="zh-CN"/>
        </w:rPr>
        <w:t>　</w:t>
      </w: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附件</w:t>
      </w:r>
      <w:r>
        <w:rPr>
          <w:rFonts w:hint="eastAsia" w:ascii="Times New Roman" w:hAnsi="Times New Roman" w:eastAsia="宋体" w:cs="Times New Roman"/>
          <w:bCs/>
          <w:color w:val="auto"/>
          <w:sz w:val="24"/>
          <w:szCs w:val="24"/>
          <w:lang w:val="en-US" w:eastAsia="zh-CN"/>
        </w:rPr>
        <w:t>2</w:t>
      </w:r>
      <w:r>
        <w:rPr>
          <w:rFonts w:hint="eastAsia" w:ascii="Times New Roman" w:hAnsi="Times New Roman" w:eastAsia="宋体" w:cs="Times New Roman"/>
          <w:bCs/>
          <w:color w:val="auto"/>
          <w:sz w:val="24"/>
          <w:szCs w:val="24"/>
        </w:rPr>
        <w:t>：法定代表人授权书（格式）</w:t>
      </w: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hint="eastAsia"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after="157" w:afterLines="50" w:line="420" w:lineRule="exact"/>
        <w:jc w:val="center"/>
        <w:textAlignment w:val="auto"/>
        <w:outlineLvl w:val="9"/>
        <w:rPr>
          <w:rFonts w:ascii="Times New Roman" w:hAnsi="Times New Roman" w:eastAsia="宋体" w:cs="Times New Roman"/>
          <w:b/>
          <w:bCs/>
          <w:color w:val="auto"/>
          <w:sz w:val="28"/>
          <w:szCs w:val="28"/>
        </w:rPr>
      </w:pPr>
      <w:r>
        <w:rPr>
          <w:rFonts w:hint="eastAsia" w:ascii="Times New Roman" w:hAnsi="Times New Roman" w:eastAsia="宋体" w:cs="Times New Roman"/>
          <w:b/>
          <w:bCs/>
          <w:color w:val="auto"/>
          <w:spacing w:val="20"/>
          <w:sz w:val="28"/>
          <w:szCs w:val="28"/>
        </w:rPr>
        <w:t>法定代表人授权书</w:t>
      </w: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（招标人名称）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（投标人全称）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法定代表人</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授权</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（投标人代表姓名）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为投标人代表，代表本公司参加贵处组织的</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项目（招标编号</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）投标活动，全权代表我方处理投标过程的一切事宜。投标人代表在投标过程中所签署的一切文件和处理与之有关的一切事务，我均予以承认。投标人代表无转委权。特此授权。</w:t>
      </w: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line="420" w:lineRule="exact"/>
        <w:ind w:firstLine="0" w:firstLineChars="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性别：</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身份证号：</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20" w:lineRule="exact"/>
        <w:ind w:firstLine="0" w:firstLineChars="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单位：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部门：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职务：</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20" w:lineRule="exact"/>
        <w:ind w:firstLine="0" w:firstLineChars="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详细通讯地址：</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邮政编码：</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电话：</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20" w:lineRule="exact"/>
        <w:ind w:firstLine="4320" w:firstLineChars="1800"/>
        <w:textAlignment w:val="auto"/>
        <w:outlineLvl w:val="9"/>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授权方</w:t>
      </w:r>
    </w:p>
    <w:p>
      <w:pPr>
        <w:keepNext w:val="0"/>
        <w:keepLines w:val="0"/>
        <w:pageBreakBefore w:val="0"/>
        <w:widowControl w:val="0"/>
        <w:kinsoku/>
        <w:wordWrap/>
        <w:overflowPunct/>
        <w:topLinePunct w:val="0"/>
        <w:autoSpaceDE/>
        <w:autoSpaceDN/>
        <w:bidi w:val="0"/>
        <w:adjustRightInd/>
        <w:snapToGrid/>
        <w:spacing w:line="42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（全称并加盖公章）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2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法定代表人签字或盖章：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20" w:lineRule="exact"/>
        <w:ind w:firstLine="4320" w:firstLineChars="1800"/>
        <w:textAlignment w:val="auto"/>
        <w:outlineLvl w:val="9"/>
        <w:rPr>
          <w:rFonts w:hint="eastAsia" w:ascii="Times New Roman" w:hAnsi="Times New Roman" w:eastAsia="宋体" w:cs="Times New Roman"/>
          <w:bCs/>
          <w:color w:val="auto"/>
          <w:sz w:val="24"/>
          <w:szCs w:val="24"/>
          <w:u w:val="single"/>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20" w:lineRule="exact"/>
        <w:ind w:firstLine="4337" w:firstLineChars="1800"/>
        <w:textAlignment w:val="auto"/>
        <w:outlineLvl w:val="9"/>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20" w:lineRule="exact"/>
        <w:ind w:firstLine="4320" w:firstLineChars="1800"/>
        <w:textAlignment w:val="auto"/>
        <w:outlineLvl w:val="9"/>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接受授权方</w:t>
      </w:r>
    </w:p>
    <w:p>
      <w:pPr>
        <w:keepNext w:val="0"/>
        <w:keepLines w:val="0"/>
        <w:pageBreakBefore w:val="0"/>
        <w:widowControl w:val="0"/>
        <w:kinsoku/>
        <w:wordWrap/>
        <w:overflowPunct/>
        <w:topLinePunct w:val="0"/>
        <w:autoSpaceDE/>
        <w:autoSpaceDN/>
        <w:bidi w:val="0"/>
        <w:adjustRightInd/>
        <w:snapToGrid/>
        <w:spacing w:line="42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投标人代表签字：</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20" w:lineRule="exact"/>
        <w:ind w:firstLine="4320" w:firstLineChars="18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sectPr>
      <w:headerReference r:id="rId3" w:type="default"/>
      <w:footerReference r:id="rId4" w:type="default"/>
      <w:pgSz w:w="11906" w:h="16838"/>
      <w:pgMar w:top="981" w:right="1440" w:bottom="1440" w:left="144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sz w:val="18"/>
      </w:rPr>
      <mc:AlternateContent>
        <mc:Choice Requires="wps">
          <w:drawing>
            <wp:anchor distT="0" distB="0" distL="114300" distR="114300" simplePos="0" relativeHeight="251664384" behindDoc="0" locked="0" layoutInCell="1" allowOverlap="1">
              <wp:simplePos x="0" y="0"/>
              <wp:positionH relativeFrom="margin">
                <wp:posOffset>2797810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0.3pt;margin-top:0pt;height:144pt;width:144pt;mso-position-horizontal-relative:margin;mso-wrap-style:none;z-index:251664384;mso-width-relative:page;mso-height-relative:page;" filled="f" stroked="f" coordsize="21600,21600" o:gfxdata="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SoyAe1QAAAAgBAAAPAAAAAAAAAAEA&#10;IAAAACIAAABkcnMvZG93bnJldi54bWxQSwECFAAUAAAACACHTuJAStvN/xICAAATBAAADgAAAAAA&#10;AAABACAAAAAkAQAAZHJzL2Uyb0RvYy54bWxQSwUGAAAAAAYABgBZAQAAqAU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00" w:lineRule="auto"/>
      <w:jc w:val="left"/>
      <w:rPr>
        <w:rFonts w:hint="eastAsia" w:ascii="宋体" w:hAnsi="宋体" w:cs="宋体"/>
        <w:b/>
        <w:sz w:val="36"/>
        <w:szCs w:val="36"/>
      </w:rPr>
    </w:pPr>
    <w:r>
      <w:rPr>
        <w:rFonts w:ascii="仿宋_GB2312" w:hAnsi="宋体" w:eastAsia="仿宋_GB2312" w:cs="宋体"/>
        <w:b/>
        <w:sz w:val="28"/>
        <w:szCs w:val="28"/>
        <w:lang w:val="zh-CN"/>
      </w:rPr>
      <w:t>[</w:t>
    </w:r>
    <w:r>
      <w:rPr>
        <w:rFonts w:ascii="仿宋_GB2312" w:hAnsi="宋体" w:eastAsia="仿宋_GB2312" w:cs="宋体"/>
        <w:b/>
        <w:sz w:val="28"/>
        <w:szCs w:val="28"/>
      </w:rPr>
      <w:fldChar w:fldCharType="begin"/>
    </w:r>
    <w:r>
      <w:rPr>
        <w:rFonts w:ascii="仿宋_GB2312" w:hAnsi="宋体" w:eastAsia="仿宋_GB2312" w:cs="宋体"/>
        <w:b/>
        <w:sz w:val="28"/>
        <w:szCs w:val="28"/>
      </w:rPr>
      <w:instrText xml:space="preserve"> PAGE   \* MERGEFORMAT </w:instrText>
    </w:r>
    <w:r>
      <w:rPr>
        <w:rFonts w:ascii="仿宋_GB2312" w:hAnsi="宋体" w:eastAsia="仿宋_GB2312" w:cs="宋体"/>
        <w:b/>
        <w:sz w:val="28"/>
        <w:szCs w:val="28"/>
      </w:rPr>
      <w:fldChar w:fldCharType="separate"/>
    </w:r>
    <w:r>
      <w:rPr>
        <w:rFonts w:ascii="仿宋_GB2312" w:hAnsi="宋体" w:eastAsia="仿宋_GB2312" w:cs="宋体"/>
        <w:b/>
        <w:sz w:val="28"/>
        <w:szCs w:val="28"/>
        <w:lang w:val="zh-CN"/>
      </w:rPr>
      <w:t>4</w:t>
    </w:r>
    <w:r>
      <w:rPr>
        <w:rFonts w:ascii="仿宋_GB2312" w:hAnsi="宋体" w:eastAsia="仿宋_GB2312" w:cs="宋体"/>
        <w:b/>
        <w:sz w:val="28"/>
        <w:szCs w:val="28"/>
      </w:rPr>
      <w:fldChar w:fldCharType="end"/>
    </w:r>
    <w:r>
      <w:rPr>
        <w:rFonts w:ascii="仿宋_GB2312" w:hAnsi="宋体" w:eastAsia="仿宋_GB2312" w:cs="宋体"/>
        <w:b/>
        <w:sz w:val="28"/>
        <w:szCs w:val="28"/>
        <w:lang w:val="zh-CN"/>
      </w:rPr>
      <w:t>]</w:t>
    </w:r>
    <w:r>
      <w:drawing>
        <wp:anchor distT="0" distB="0" distL="114300" distR="114300" simplePos="0" relativeHeight="251663360" behindDoc="0" locked="0" layoutInCell="1" allowOverlap="1">
          <wp:simplePos x="0" y="0"/>
          <wp:positionH relativeFrom="column">
            <wp:posOffset>-76200</wp:posOffset>
          </wp:positionH>
          <wp:positionV relativeFrom="paragraph">
            <wp:posOffset>19050</wp:posOffset>
          </wp:positionV>
          <wp:extent cx="1485900" cy="923925"/>
          <wp:effectExtent l="0" t="0" r="0" b="9525"/>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
                  <a:srcRect b="39752"/>
                  <a:stretch>
                    <a:fillRect/>
                  </a:stretch>
                </pic:blipFill>
                <pic:spPr>
                  <a:xfrm>
                    <a:off x="0" y="0"/>
                    <a:ext cx="1485900" cy="923925"/>
                  </a:xfrm>
                  <a:prstGeom prst="rect">
                    <a:avLst/>
                  </a:prstGeom>
                  <a:noFill/>
                  <a:ln w="9525">
                    <a:noFill/>
                  </a:ln>
                </pic:spPr>
              </pic:pic>
            </a:graphicData>
          </a:graphic>
        </wp:anchor>
      </w:drawing>
    </w:r>
    <w:r>
      <w:rPr>
        <w:rFonts w:hint="eastAsia" w:ascii="仿宋_GB2312" w:hAnsi="宋体" w:eastAsia="仿宋_GB2312" w:cs="宋体"/>
        <w:b/>
        <w:sz w:val="28"/>
        <w:szCs w:val="28"/>
      </w:rPr>
      <w:t xml:space="preserve">                       </w:t>
    </w:r>
    <w:r>
      <w:rPr>
        <w:rFonts w:hint="eastAsia" w:ascii="宋体" w:hAnsi="宋体" w:cs="宋体"/>
        <w:b/>
        <w:sz w:val="36"/>
        <w:szCs w:val="36"/>
      </w:rPr>
      <w:t>福建省青山纸业股份有限公司</w:t>
    </w:r>
  </w:p>
  <w:p>
    <w:pPr>
      <w:snapToGrid w:val="0"/>
      <w:spacing w:line="300" w:lineRule="auto"/>
      <w:jc w:val="left"/>
      <w:rPr>
        <w:rFonts w:hint="eastAsia" w:ascii="宋体" w:hAnsi="宋体" w:cs="宋体"/>
        <w:b/>
        <w:sz w:val="30"/>
        <w:szCs w:val="30"/>
      </w:rPr>
    </w:pPr>
    <w:r>
      <w:rPr>
        <w:rFonts w:hint="eastAsia" w:ascii="宋体" w:hAnsi="宋体" w:cs="宋体"/>
        <w:b/>
        <w:sz w:val="32"/>
        <w:szCs w:val="32"/>
      </w:rPr>
      <w:t xml:space="preserve">                </w:t>
    </w:r>
    <w:r>
      <w:rPr>
        <w:rFonts w:ascii="方正楷体简体" w:eastAsia="方正楷体简体"/>
        <w:b/>
        <w:kern w:val="22"/>
        <w:sz w:val="30"/>
        <w:szCs w:val="30"/>
      </w:rPr>
      <w:t>FUJIAN QINGSHAN PAPER INDUSTRY CO.,LTD.</w:t>
    </w:r>
  </w:p>
  <w:p>
    <w:pPr>
      <w:snapToGrid w:val="0"/>
      <w:spacing w:line="300" w:lineRule="auto"/>
      <w:jc w:val="left"/>
      <w:rPr>
        <w:rFonts w:hint="eastAsia" w:ascii="宋体" w:hAnsi="宋体" w:cs="宋体"/>
        <w:b/>
        <w:sz w:val="30"/>
        <w:szCs w:val="30"/>
      </w:rPr>
    </w:pPr>
    <w:r>
      <w:rPr>
        <w:rFonts w:ascii="仿宋_GB2312"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252095</wp:posOffset>
              </wp:positionV>
              <wp:extent cx="1266825" cy="476250"/>
              <wp:effectExtent l="4445" t="4445" r="5080" b="14605"/>
              <wp:wrapNone/>
              <wp:docPr id="4" name="文本框 4"/>
              <wp:cNvGraphicFramePr/>
              <a:graphic xmlns:a="http://schemas.openxmlformats.org/drawingml/2006/main">
                <a:graphicData uri="http://schemas.microsoft.com/office/word/2010/wordprocessingShape">
                  <wps:wsp>
                    <wps:cNvSpPr txBox="1"/>
                    <wps:spPr>
                      <a:xfrm>
                        <a:off x="0" y="0"/>
                        <a:ext cx="1266825" cy="4762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wps:txbx>
                    <wps:bodyPr lIns="0" tIns="0" rIns="0" bIns="0" upright="1"/>
                  </wps:wsp>
                </a:graphicData>
              </a:graphic>
            </wp:anchor>
          </w:drawing>
        </mc:Choice>
        <mc:Fallback>
          <w:pict>
            <v:shape id="_x0000_s1026" o:spid="_x0000_s1026" o:spt="202" type="#_x0000_t202" style="position:absolute;left:0pt;margin-left:5.25pt;margin-top:19.85pt;height:37.5pt;width:99.75pt;z-index:251661312;mso-width-relative:page;mso-height-relative:page;" fillcolor="#FFFFFF" filled="t" stroked="t" coordsize="21600,21600" o:gfxdata="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Lf/vdcAAAAJAQAADwAAAAAAAAABACAAAAAiAAAAZHJzL2Rvd25yZXYu&#10;eG1sUEsBAhQAFAAAAAgAh07iQMz3Ja/8AQAADAQAAA4AAAAAAAAAAQAgAAAAJgEAAGRycy9lMm9E&#10;b2MueG1sUEsFBgAAAAAGAAYAWQEAAJQFAAAAAA==&#10;">
              <v:fill on="t" focussize="0,0"/>
              <v:stroke color="#FFFFFF" joinstyle="miter"/>
              <v:imagedata o:title=""/>
              <o:lock v:ext="edit" aspectratio="f"/>
              <v:textbox inset="0mm,0mm,0mm,0mm">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v:textbox>
            </v:shape>
          </w:pict>
        </mc:Fallback>
      </mc:AlternateContent>
    </w:r>
    <w:r>
      <w:rPr>
        <w:rFonts w:hint="eastAsia" w:ascii="仿宋_GB2312" w:eastAsia="仿宋_GB2312"/>
        <w:sz w:val="28"/>
        <w:szCs w:val="28"/>
        <w:lang w:val="en-US" w:eastAsia="zh-CN"/>
      </w:rPr>
      <w:t xml:space="preserve">                         </w:t>
    </w:r>
    <w:r>
      <w:rPr>
        <w:rFonts w:hint="eastAsia" w:ascii="宋体" w:hAnsi="宋体" w:cs="宋体"/>
        <w:b/>
        <w:sz w:val="28"/>
        <w:szCs w:val="28"/>
      </w:rPr>
      <w:t xml:space="preserve"> </w:t>
    </w:r>
    <w:r>
      <w:rPr>
        <w:rFonts w:hint="eastAsia" w:ascii="宋体" w:hAnsi="宋体" w:cs="宋体"/>
        <w:b/>
        <w:spacing w:val="40"/>
        <w:sz w:val="52"/>
        <w:szCs w:val="52"/>
      </w:rPr>
      <w:t>招标信息发布文件</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3680" w:firstLineChars="1310"/>
      <w:jc w:val="left"/>
      <w:textAlignment w:val="auto"/>
      <w:outlineLvl w:val="9"/>
      <w:rPr>
        <w:rFonts w:hint="eastAsia" w:ascii="Arial" w:hAnsi="Arial" w:cs="Arial"/>
        <w:b/>
        <w:sz w:val="24"/>
        <w:szCs w:val="24"/>
      </w:rPr>
    </w:pPr>
    <w:r>
      <w:rPr>
        <w:rFonts w:hint="eastAsia" w:ascii="Arial" w:hAnsi="宋体" w:cs="Arial"/>
        <w:b/>
        <w:spacing w:val="20"/>
        <w:sz w:val="24"/>
        <w:szCs w:val="24"/>
        <w:lang w:eastAsia="zh-CN"/>
      </w:rPr>
      <w:t>招标</w:t>
    </w:r>
    <w:r>
      <w:rPr>
        <w:rFonts w:ascii="Arial" w:hAnsi="宋体" w:cs="Arial"/>
        <w:b/>
        <w:spacing w:val="20"/>
        <w:sz w:val="24"/>
        <w:szCs w:val="24"/>
      </w:rPr>
      <w:t>编号</w:t>
    </w:r>
    <w:r>
      <w:rPr>
        <w:rFonts w:hint="eastAsia" w:ascii="Arial" w:hAnsi="宋体" w:cs="Arial"/>
        <w:b/>
        <w:sz w:val="24"/>
        <w:szCs w:val="24"/>
        <w:lang w:eastAsia="zh-CN"/>
      </w:rPr>
      <w:t>：</w:t>
    </w:r>
    <w:r>
      <w:rPr>
        <w:rFonts w:hint="eastAsia" w:ascii="Arial" w:hAnsi="Arial" w:cs="Arial"/>
        <w:b/>
        <w:sz w:val="24"/>
        <w:szCs w:val="24"/>
      </w:rPr>
      <w:t>202</w:t>
    </w:r>
    <w:r>
      <w:rPr>
        <w:rFonts w:hint="eastAsia" w:ascii="Arial" w:hAnsi="Arial" w:cs="Arial"/>
        <w:b/>
        <w:sz w:val="24"/>
        <w:szCs w:val="24"/>
        <w:lang w:val="en-US" w:eastAsia="zh-CN"/>
      </w:rPr>
      <w:t xml:space="preserve">3SB030C  </w:t>
    </w:r>
    <w:r>
      <w:rPr>
        <w:rFonts w:hint="eastAsia" w:ascii="Arial" w:hAnsi="Arial" w:cs="Arial"/>
        <w:b/>
        <w:sz w:val="24"/>
        <w:szCs w:val="24"/>
      </w:rPr>
      <w:t>共</w:t>
    </w:r>
    <w:r>
      <w:rPr>
        <w:rFonts w:ascii="Arial" w:hAnsi="Arial" w:cs="Arial"/>
        <w:b/>
        <w:sz w:val="24"/>
        <w:szCs w:val="24"/>
      </w:rPr>
      <w:fldChar w:fldCharType="begin"/>
    </w:r>
    <w:r>
      <w:rPr>
        <w:rFonts w:ascii="Arial" w:hAnsi="Arial" w:cs="Arial"/>
        <w:b/>
        <w:sz w:val="24"/>
        <w:szCs w:val="24"/>
      </w:rPr>
      <w:instrText xml:space="preserve">NUMPAGES</w:instrText>
    </w:r>
    <w:r>
      <w:rPr>
        <w:rFonts w:ascii="Arial" w:hAnsi="Arial" w:cs="Arial"/>
        <w:b/>
        <w:sz w:val="24"/>
        <w:szCs w:val="24"/>
      </w:rPr>
      <w:fldChar w:fldCharType="separate"/>
    </w:r>
    <w:r>
      <w:rPr>
        <w:rFonts w:ascii="Arial" w:hAnsi="Arial" w:cs="Arial"/>
        <w:b/>
        <w:sz w:val="24"/>
        <w:szCs w:val="24"/>
      </w:rPr>
      <w:t>9</w:t>
    </w:r>
    <w:r>
      <w:rPr>
        <w:rFonts w:ascii="Arial" w:hAnsi="Arial" w:cs="Arial"/>
        <w:b/>
        <w:sz w:val="24"/>
        <w:szCs w:val="24"/>
      </w:rPr>
      <w:fldChar w:fldCharType="end"/>
    </w:r>
    <w:r>
      <w:rPr>
        <w:rFonts w:hint="eastAsia" w:ascii="Arial" w:hAnsi="Arial" w:cs="Arial"/>
        <w:b/>
        <w:sz w:val="24"/>
        <w:szCs w:val="24"/>
      </w:rPr>
      <w:t>页  第</w:t>
    </w:r>
    <w:r>
      <w:rPr>
        <w:rFonts w:ascii="Arial" w:hAnsi="Arial" w:cs="Arial"/>
        <w:b/>
        <w:sz w:val="24"/>
        <w:szCs w:val="24"/>
      </w:rPr>
      <w:fldChar w:fldCharType="begin"/>
    </w:r>
    <w:r>
      <w:rPr>
        <w:rFonts w:ascii="Arial" w:hAnsi="Arial" w:cs="Arial"/>
        <w:b/>
        <w:sz w:val="24"/>
        <w:szCs w:val="24"/>
      </w:rPr>
      <w:instrText xml:space="preserve">PAGE</w:instrText>
    </w:r>
    <w:r>
      <w:rPr>
        <w:rFonts w:ascii="Arial" w:hAnsi="Arial" w:cs="Arial"/>
        <w:b/>
        <w:sz w:val="24"/>
        <w:szCs w:val="24"/>
      </w:rPr>
      <w:fldChar w:fldCharType="separate"/>
    </w:r>
    <w:r>
      <w:rPr>
        <w:rFonts w:ascii="Arial" w:hAnsi="Arial" w:cs="Arial"/>
        <w:b/>
        <w:sz w:val="24"/>
        <w:szCs w:val="24"/>
      </w:rPr>
      <w:t>4</w:t>
    </w:r>
    <w:r>
      <w:rPr>
        <w:rFonts w:ascii="Arial" w:hAnsi="Arial" w:cs="Arial"/>
        <w:b/>
        <w:sz w:val="24"/>
        <w:szCs w:val="24"/>
      </w:rPr>
      <w:fldChar w:fldCharType="end"/>
    </w:r>
    <w:r>
      <w:rPr>
        <w:rFonts w:hint="eastAsia" w:ascii="Arial" w:hAnsi="Arial" w:cs="Arial"/>
        <w:b/>
        <w:sz w:val="24"/>
        <w:szCs w:val="24"/>
      </w:rPr>
      <w:t>页</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2358" w:firstLineChars="1310"/>
      <w:jc w:val="left"/>
      <w:textAlignment w:val="auto"/>
      <w:outlineLvl w:val="9"/>
    </w:pPr>
    <w:r>
      <w:rPr>
        <w:sz w:val="18"/>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83820</wp:posOffset>
              </wp:positionV>
              <wp:extent cx="5888990" cy="1905"/>
              <wp:effectExtent l="0" t="0" r="0" b="0"/>
              <wp:wrapNone/>
              <wp:docPr id="7" name="直接连接符 7"/>
              <wp:cNvGraphicFramePr/>
              <a:graphic xmlns:a="http://schemas.openxmlformats.org/drawingml/2006/main">
                <a:graphicData uri="http://schemas.microsoft.com/office/word/2010/wordprocessingShape">
                  <wps:wsp>
                    <wps:cNvCnPr/>
                    <wps:spPr>
                      <a:xfrm flipV="1">
                        <a:off x="914400" y="2087245"/>
                        <a:ext cx="5888990" cy="1905"/>
                      </a:xfrm>
                      <a:prstGeom prst="line">
                        <a:avLst/>
                      </a:prstGeom>
                      <a:ln w="38100">
                        <a:solidFill>
                          <a:schemeClr val="dk1">
                            <a:alpha val="99000"/>
                          </a:schemeClr>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y;margin-left:-5.25pt;margin-top:6.6pt;height:0.15pt;width:463.7pt;z-index:251662336;mso-width-relative:page;mso-height-relative:page;" filled="f" stroked="t" coordsize="21600,21600" o:gfxdata="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JJwYqNgAAAAJAQAADwAAAAAAAAABACAAAAAiAAAAZHJzL2Rvd25yZXYueG1sUEsBAhQAFAAAAAgA&#10;h07iQAxpPmjsAQAAnQMAAA4AAAAAAAAAAQAgAAAAJwEAAGRycy9lMm9Eb2MueG1sUEsFBgAAAAAG&#10;AAYAWQEAAIUFAAAAAA==&#10;">
              <v:fill on="f" focussize="0,0"/>
              <v:stroke weight="3pt" color="#000000 [3200]" opacity="64880f" miterlimit="8" joinstyle="miter"/>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E5CDF"/>
    <w:rsid w:val="052B4F28"/>
    <w:rsid w:val="05695BD0"/>
    <w:rsid w:val="05871BB5"/>
    <w:rsid w:val="06DE03E2"/>
    <w:rsid w:val="08E72CEF"/>
    <w:rsid w:val="09997EE7"/>
    <w:rsid w:val="09F86387"/>
    <w:rsid w:val="0A037160"/>
    <w:rsid w:val="0AF65C4C"/>
    <w:rsid w:val="0BD679A8"/>
    <w:rsid w:val="0C992A98"/>
    <w:rsid w:val="0D015163"/>
    <w:rsid w:val="0D2A74AE"/>
    <w:rsid w:val="0D592C37"/>
    <w:rsid w:val="0D5F3512"/>
    <w:rsid w:val="0E3C49E1"/>
    <w:rsid w:val="0E8B2E75"/>
    <w:rsid w:val="10060E66"/>
    <w:rsid w:val="12BF4032"/>
    <w:rsid w:val="12DC1146"/>
    <w:rsid w:val="140758AC"/>
    <w:rsid w:val="16A33A8B"/>
    <w:rsid w:val="17E62151"/>
    <w:rsid w:val="19CF43E9"/>
    <w:rsid w:val="19D304ED"/>
    <w:rsid w:val="1A413D1B"/>
    <w:rsid w:val="1C261925"/>
    <w:rsid w:val="1C857027"/>
    <w:rsid w:val="1D1A1A49"/>
    <w:rsid w:val="1F570C40"/>
    <w:rsid w:val="1FDC0B0B"/>
    <w:rsid w:val="1FF477CC"/>
    <w:rsid w:val="20287CB8"/>
    <w:rsid w:val="208E1D71"/>
    <w:rsid w:val="21F72B38"/>
    <w:rsid w:val="22A1546C"/>
    <w:rsid w:val="22F02809"/>
    <w:rsid w:val="24C550DC"/>
    <w:rsid w:val="24CA313E"/>
    <w:rsid w:val="26A9561F"/>
    <w:rsid w:val="2ACE7F9E"/>
    <w:rsid w:val="2BC45956"/>
    <w:rsid w:val="2C525A9B"/>
    <w:rsid w:val="2D6E3876"/>
    <w:rsid w:val="2D91433C"/>
    <w:rsid w:val="2EA81856"/>
    <w:rsid w:val="301B3B01"/>
    <w:rsid w:val="312D105A"/>
    <w:rsid w:val="315644D0"/>
    <w:rsid w:val="31BD57A7"/>
    <w:rsid w:val="32592B3B"/>
    <w:rsid w:val="33DD320D"/>
    <w:rsid w:val="33F87B1A"/>
    <w:rsid w:val="34BF3021"/>
    <w:rsid w:val="35606AE4"/>
    <w:rsid w:val="35E5575B"/>
    <w:rsid w:val="394D2CDE"/>
    <w:rsid w:val="39E9615C"/>
    <w:rsid w:val="3BC53092"/>
    <w:rsid w:val="3C5513A3"/>
    <w:rsid w:val="3C584342"/>
    <w:rsid w:val="3C7C5725"/>
    <w:rsid w:val="3D9A2B8C"/>
    <w:rsid w:val="3E4F62F6"/>
    <w:rsid w:val="3E832FBD"/>
    <w:rsid w:val="3EF50209"/>
    <w:rsid w:val="3F550899"/>
    <w:rsid w:val="3F731E14"/>
    <w:rsid w:val="3F7334C5"/>
    <w:rsid w:val="40AA422C"/>
    <w:rsid w:val="44082718"/>
    <w:rsid w:val="47BB01F2"/>
    <w:rsid w:val="47C60904"/>
    <w:rsid w:val="48571F9B"/>
    <w:rsid w:val="485A1FE6"/>
    <w:rsid w:val="494848CE"/>
    <w:rsid w:val="4ACF470A"/>
    <w:rsid w:val="50635474"/>
    <w:rsid w:val="510D00AA"/>
    <w:rsid w:val="53B91808"/>
    <w:rsid w:val="55867334"/>
    <w:rsid w:val="574E15B7"/>
    <w:rsid w:val="5D23354B"/>
    <w:rsid w:val="5D6B3280"/>
    <w:rsid w:val="5D785372"/>
    <w:rsid w:val="5DAE499A"/>
    <w:rsid w:val="5DDF5898"/>
    <w:rsid w:val="5F194A83"/>
    <w:rsid w:val="5F6F0FB4"/>
    <w:rsid w:val="610928EA"/>
    <w:rsid w:val="62A84C8F"/>
    <w:rsid w:val="63A30CC0"/>
    <w:rsid w:val="64DB1FB5"/>
    <w:rsid w:val="655834F7"/>
    <w:rsid w:val="661C08AC"/>
    <w:rsid w:val="67157C63"/>
    <w:rsid w:val="674E2FFC"/>
    <w:rsid w:val="68E3273E"/>
    <w:rsid w:val="69CB5362"/>
    <w:rsid w:val="6AF32396"/>
    <w:rsid w:val="6B0726BC"/>
    <w:rsid w:val="6B773290"/>
    <w:rsid w:val="6D0F5985"/>
    <w:rsid w:val="701A7798"/>
    <w:rsid w:val="71E749FC"/>
    <w:rsid w:val="71F55825"/>
    <w:rsid w:val="71FA0AA6"/>
    <w:rsid w:val="73C26E33"/>
    <w:rsid w:val="74D1558C"/>
    <w:rsid w:val="759C6C29"/>
    <w:rsid w:val="76EF5943"/>
    <w:rsid w:val="773131F3"/>
    <w:rsid w:val="77EA6C2F"/>
    <w:rsid w:val="7821563D"/>
    <w:rsid w:val="7952415F"/>
    <w:rsid w:val="7B657139"/>
    <w:rsid w:val="7C2E0B76"/>
    <w:rsid w:val="7C4E6A8D"/>
    <w:rsid w:val="7CB37074"/>
    <w:rsid w:val="7CD61DA0"/>
    <w:rsid w:val="7CEC5B68"/>
    <w:rsid w:val="7D9C5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Plain Text"/>
    <w:basedOn w:val="1"/>
    <w:qFormat/>
    <w:uiPriority w:val="0"/>
    <w:pPr>
      <w:adjustRightInd w:val="0"/>
      <w:spacing w:line="360" w:lineRule="atLeast"/>
      <w:textAlignment w:val="baseline"/>
    </w:pPr>
    <w:rPr>
      <w:rFonts w:ascii="宋体" w:hAnsi="Courier New"/>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8">
    <w:name w:val="Strong"/>
    <w:basedOn w:val="7"/>
    <w:qFormat/>
    <w:uiPriority w:val="0"/>
    <w:rPr>
      <w:b/>
      <w:bCs/>
    </w:rPr>
  </w:style>
  <w:style w:type="character" w:styleId="9">
    <w:name w:val="page number"/>
    <w:basedOn w:val="7"/>
    <w:qFormat/>
    <w:uiPriority w:val="0"/>
  </w:style>
  <w:style w:type="character" w:styleId="10">
    <w:name w:val="Hyperlink"/>
    <w:basedOn w:val="7"/>
    <w:unhideWhenUsed/>
    <w:qFormat/>
    <w:uiPriority w:val="99"/>
    <w:rPr>
      <w:color w:val="0000FF"/>
      <w:u w:val="single"/>
    </w:rPr>
  </w:style>
  <w:style w:type="table" w:styleId="12">
    <w:name w:val="Table Grid"/>
    <w:basedOn w:val="11"/>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16</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2021-04-09T08:23:00Z</dcterms:created>
  <dc:creator>Administrator</dc:creator>
  <cp:lastModifiedBy>刘玲</cp:lastModifiedBy>
  <dcterms:modified xsi:type="dcterms:W3CDTF">2023-03-07T08:28:04Z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